
<file path=[Content_Types].xml><?xml version="1.0" encoding="utf-8"?>
<Types xmlns="http://schemas.openxmlformats.org/package/2006/content-types">
  <Default Extension="png" ContentType="image/png"/>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3" Type="http://schemas.openxmlformats.org/package/2006/relationships/metadata/core-properties" Target="docProps/core.xml"/><Relationship Id="rId4" Type="http://schemas.openxmlformats.org/officeDocument/2006/relationships/extended-properties" Target="docProps/app.xml"/><Relationship Id="rId2" Type="http://schemas.openxmlformats.org/officeDocument/2006/relationships/custom-properties" Target="docProps/custom.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body>
    <w:p>
      <w:pPr>
        <w:pStyle w:val="BodyText"/>
        <w:spacing w:line="261" w:lineRule="auto"/>
        <w:rPr/>
      </w:pPr>
      <w:r/>
    </w:p>
    <w:p>
      <w:pPr>
        <w:pStyle w:val="BodyText"/>
        <w:spacing w:line="261" w:lineRule="auto"/>
        <w:rPr/>
      </w:pPr>
      <w:r/>
    </w:p>
    <w:p>
      <w:pPr>
        <w:pStyle w:val="BodyText"/>
        <w:spacing w:line="262" w:lineRule="auto"/>
        <w:rPr/>
      </w:pPr>
      <w:r/>
    </w:p>
    <w:p>
      <w:pPr>
        <w:pStyle w:val="BodyText"/>
        <w:spacing w:line="262" w:lineRule="auto"/>
        <w:rPr/>
      </w:pPr>
      <w:r/>
    </w:p>
    <w:p>
      <w:pPr>
        <w:pStyle w:val="BodyText"/>
        <w:spacing w:line="262" w:lineRule="auto"/>
        <w:rPr/>
      </w:pPr>
      <w:r/>
    </w:p>
    <w:p>
      <w:pPr>
        <w:pStyle w:val="BodyText"/>
        <w:spacing w:line="262" w:lineRule="auto"/>
        <w:rPr/>
      </w:pPr>
      <w:r/>
    </w:p>
    <w:p>
      <w:pPr>
        <w:pStyle w:val="BodyText"/>
        <w:spacing w:line="262" w:lineRule="auto"/>
        <w:rPr/>
      </w:pPr>
      <w:r/>
    </w:p>
    <w:p>
      <w:pPr>
        <w:pStyle w:val="BodyText"/>
        <w:spacing w:line="262" w:lineRule="auto"/>
        <w:rPr/>
      </w:pPr>
      <w:r/>
    </w:p>
    <w:p>
      <w:pPr>
        <w:ind w:left="2592"/>
        <w:spacing w:before="356" w:line="216" w:lineRule="auto"/>
        <w:outlineLvl w:val="0"/>
        <w:rPr>
          <w:rFonts w:ascii="Microsoft YaHei" w:hAnsi="Microsoft YaHei" w:eastAsia="Microsoft YaHei" w:cs="Microsoft YaHei"/>
          <w:sz w:val="83"/>
          <w:szCs w:val="83"/>
        </w:rPr>
      </w:pPr>
      <w:r>
        <w:rPr>
          <w:rFonts w:ascii="Microsoft YaHei" w:hAnsi="Microsoft YaHei" w:eastAsia="Microsoft YaHei" w:cs="Microsoft YaHei"/>
          <w:sz w:val="83"/>
          <w:szCs w:val="83"/>
          <w:b/>
          <w:bCs/>
          <w:color w:val="FFFFFF"/>
          <w:spacing w:val="7"/>
        </w:rPr>
        <w:t>一周法规速递|监管动态</w:t>
      </w:r>
    </w:p>
    <w:p>
      <w:pPr>
        <w:ind w:left="5717"/>
        <w:spacing w:before="7" w:line="183" w:lineRule="auto"/>
        <w:rPr>
          <w:rFonts w:ascii="Microsoft YaHei" w:hAnsi="Microsoft YaHei" w:eastAsia="Microsoft YaHei" w:cs="Microsoft YaHei"/>
          <w:sz w:val="30"/>
          <w:szCs w:val="30"/>
        </w:rPr>
      </w:pPr>
      <w:r>
        <w:rPr>
          <w:rFonts w:ascii="Microsoft YaHei" w:hAnsi="Microsoft YaHei" w:eastAsia="Microsoft YaHei" w:cs="Microsoft YaHei"/>
          <w:sz w:val="30"/>
          <w:szCs w:val="30"/>
          <w:color w:val="FFFFFF"/>
          <w:spacing w:val="-1"/>
        </w:rPr>
        <w:t>2024年08月26日—2024年09月01日</w:t>
      </w:r>
    </w:p>
    <w:p>
      <w:pPr>
        <w:pStyle w:val="BodyText"/>
        <w:spacing w:line="242" w:lineRule="auto"/>
        <w:rPr/>
      </w:pPr>
      <w:r/>
    </w:p>
    <w:p>
      <w:pPr>
        <w:pStyle w:val="BodyText"/>
        <w:spacing w:line="242" w:lineRule="auto"/>
        <w:rPr/>
      </w:pPr>
      <w:r/>
    </w:p>
    <w:p>
      <w:pPr>
        <w:pStyle w:val="BodyText"/>
        <w:spacing w:line="242" w:lineRule="auto"/>
        <w:rPr/>
      </w:pPr>
      <w:r/>
    </w:p>
    <w:p>
      <w:pPr>
        <w:pStyle w:val="BodyText"/>
        <w:spacing w:line="242" w:lineRule="auto"/>
        <w:rPr/>
      </w:pPr>
      <w:r/>
    </w:p>
    <w:p>
      <w:pPr>
        <w:pStyle w:val="BodyText"/>
        <w:spacing w:line="243" w:lineRule="auto"/>
        <w:rPr/>
      </w:pPr>
      <w:r/>
    </w:p>
    <w:p>
      <w:pPr>
        <w:pStyle w:val="BodyText"/>
        <w:spacing w:line="243" w:lineRule="auto"/>
        <w:rPr/>
      </w:pPr>
      <w:r/>
    </w:p>
    <w:p>
      <w:pPr>
        <w:pStyle w:val="BodyText"/>
        <w:spacing w:line="243" w:lineRule="auto"/>
        <w:rPr/>
      </w:pPr>
      <w:r/>
    </w:p>
    <w:p>
      <w:pPr>
        <w:pStyle w:val="BodyText"/>
        <w:spacing w:line="243" w:lineRule="auto"/>
        <w:rPr/>
      </w:pPr>
      <w:r/>
    </w:p>
    <w:p>
      <w:pPr>
        <w:pStyle w:val="BodyText"/>
        <w:spacing w:line="243" w:lineRule="auto"/>
        <w:rPr/>
      </w:pPr>
      <w:r/>
    </w:p>
    <w:p>
      <w:pPr>
        <w:pStyle w:val="BodyText"/>
        <w:spacing w:line="243" w:lineRule="auto"/>
        <w:rPr/>
      </w:pPr>
      <w:r/>
    </w:p>
    <w:p>
      <w:pPr>
        <w:pStyle w:val="BodyText"/>
        <w:spacing w:line="243" w:lineRule="auto"/>
        <w:rPr/>
      </w:pPr>
      <w:r/>
    </w:p>
    <w:p>
      <w:pPr>
        <w:pStyle w:val="BodyText"/>
        <w:spacing w:line="243" w:lineRule="auto"/>
        <w:rPr/>
      </w:pPr>
      <w:r/>
    </w:p>
    <w:p>
      <w:pPr>
        <w:pStyle w:val="BodyText"/>
        <w:spacing w:line="243" w:lineRule="auto"/>
        <w:rPr/>
      </w:pPr>
      <w:r/>
    </w:p>
    <w:p>
      <w:pPr>
        <w:pStyle w:val="BodyText"/>
        <w:spacing w:line="243" w:lineRule="auto"/>
        <w:rPr/>
      </w:pPr>
      <w:r/>
    </w:p>
    <w:p>
      <w:pPr>
        <w:pStyle w:val="BodyText"/>
        <w:spacing w:line="243" w:lineRule="auto"/>
        <w:rPr/>
      </w:pPr>
      <w:r/>
    </w:p>
    <w:p>
      <w:pPr>
        <w:pStyle w:val="BodyText"/>
        <w:spacing w:line="243" w:lineRule="auto"/>
        <w:rPr/>
      </w:pPr>
      <w:r/>
    </w:p>
    <w:p>
      <w:pPr>
        <w:pStyle w:val="BodyText"/>
        <w:spacing w:line="243" w:lineRule="auto"/>
        <w:rPr/>
      </w:pPr>
      <w:r/>
    </w:p>
    <w:p>
      <w:pPr>
        <w:pStyle w:val="BodyText"/>
        <w:spacing w:line="243" w:lineRule="auto"/>
        <w:rPr/>
      </w:pPr>
      <w:r/>
    </w:p>
    <w:p>
      <w:pPr>
        <w:pStyle w:val="BodyText"/>
        <w:spacing w:line="243" w:lineRule="auto"/>
        <w:rPr/>
      </w:pPr>
      <w:r/>
    </w:p>
    <w:p>
      <w:pPr>
        <w:pStyle w:val="BodyText"/>
        <w:spacing w:line="243" w:lineRule="auto"/>
        <w:rPr/>
      </w:pPr>
      <w:r/>
    </w:p>
    <w:p>
      <w:pPr>
        <w:pStyle w:val="BodyText"/>
        <w:spacing w:line="243" w:lineRule="auto"/>
        <w:rPr/>
      </w:pPr>
      <w:r/>
    </w:p>
    <w:p>
      <w:pPr>
        <w:pStyle w:val="BodyText"/>
        <w:spacing w:line="243" w:lineRule="auto"/>
        <w:rPr/>
      </w:pPr>
      <w:r/>
    </w:p>
    <w:p>
      <w:pPr>
        <w:pStyle w:val="BodyText"/>
        <w:spacing w:line="243" w:lineRule="auto"/>
        <w:rPr/>
      </w:pPr>
      <w:r/>
    </w:p>
    <w:p>
      <w:pPr>
        <w:pStyle w:val="BodyText"/>
        <w:spacing w:line="243" w:lineRule="auto"/>
        <w:rPr/>
      </w:pPr>
      <w:r/>
    </w:p>
    <w:p>
      <w:pPr>
        <w:pStyle w:val="BodyText"/>
        <w:spacing w:line="243" w:lineRule="auto"/>
        <w:rPr/>
      </w:pPr>
      <w:r/>
    </w:p>
    <w:p>
      <w:pPr>
        <w:ind w:left="4586" w:right="3731" w:hanging="886"/>
        <w:spacing w:before="133" w:line="369" w:lineRule="auto"/>
        <w:rPr>
          <w:rFonts w:ascii="Microsoft YaHei" w:hAnsi="Microsoft YaHei" w:eastAsia="Microsoft YaHei" w:cs="Microsoft YaHei"/>
          <w:sz w:val="31"/>
          <w:szCs w:val="31"/>
        </w:rPr>
      </w:pPr>
      <w:r>
        <w:rPr>
          <w:rFonts w:ascii="Microsoft YaHei" w:hAnsi="Microsoft YaHei" w:eastAsia="Microsoft YaHei" w:cs="Microsoft YaHei"/>
          <w:sz w:val="31"/>
          <w:szCs w:val="31"/>
          <w:b/>
          <w:bCs/>
          <w:spacing w:val="9"/>
        </w:rPr>
        <w:t>深圳价值在线咨询顾问有限公司</w:t>
      </w:r>
      <w:r>
        <w:rPr>
          <w:rFonts w:ascii="Microsoft YaHei" w:hAnsi="Microsoft YaHei" w:eastAsia="Microsoft YaHei" w:cs="Microsoft YaHei"/>
          <w:sz w:val="31"/>
          <w:szCs w:val="31"/>
          <w:b/>
          <w:bCs/>
          <w:spacing w:val="11"/>
        </w:rPr>
        <w:t xml:space="preserve"> </w:t>
      </w:r>
      <w:r>
        <w:rPr>
          <w:rFonts w:ascii="Microsoft YaHei" w:hAnsi="Microsoft YaHei" w:eastAsia="Microsoft YaHei" w:cs="Microsoft YaHei"/>
          <w:sz w:val="31"/>
          <w:szCs w:val="31"/>
          <w:b/>
          <w:bCs/>
          <w:spacing w:val="5"/>
        </w:rPr>
        <w:t>2024年09月02日</w:t>
      </w:r>
    </w:p>
    <w:p>
      <w:pPr>
        <w:spacing w:line="369" w:lineRule="auto"/>
        <w:sectPr>
          <w:headerReference w:type="default" r:id="rId1"/>
          <w:pgSz w:w="11910" w:h="16840"/>
          <w:pgMar w:top="400" w:right="0" w:bottom="0" w:left="0" w:header="0" w:footer="0" w:gutter="0"/>
        </w:sectPr>
        <w:rPr>
          <w:rFonts w:ascii="Microsoft YaHei" w:hAnsi="Microsoft YaHei" w:eastAsia="Microsoft YaHei" w:cs="Microsoft YaHei"/>
          <w:sz w:val="31"/>
          <w:szCs w:val="31"/>
        </w:rPr>
      </w:pPr>
    </w:p>
    <w:p>
      <w:pPr>
        <w:rPr>
          <w:rFonts w:ascii="Microsoft YaHei" w:hAnsi="Microsoft YaHei" w:eastAsia="Microsoft YaHei" w:cs="Microsoft YaHei"/>
          <w:sz w:val="43"/>
          <w:szCs w:val="43"/>
        </w:rPr>
      </w:pPr>
      <w:r>
        <w:drawing>
          <wp:anchor distT="0" distB="0" distL="0" distR="0" simplePos="0" relativeHeight="251658240" behindDoc="1" locked="0" layoutInCell="1" allowOverlap="1">
            <wp:simplePos x="0" y="0"/>
            <wp:positionH relativeFrom="column">
              <wp:posOffset>803275</wp:posOffset>
            </wp:positionH>
            <wp:positionV relativeFrom="paragraph">
              <wp:posOffset>580923</wp:posOffset>
            </wp:positionV>
            <wp:extent cx="6674484" cy="34493"/>
            <wp:effectExtent l="0" t="0" r="0" b="0"/>
            <wp:wrapNone/>
            <wp:docPr id="4" name="IM 4"/>
            <wp:cNvGraphicFramePr/>
            <a:graphic>
              <a:graphicData uri="http://schemas.openxmlformats.org/drawingml/2006/picture">
                <pic:pic>
                  <pic:nvPicPr>
                    <pic:cNvPr id="4" name="IM 4"/>
                    <pic:cNvPicPr/>
                  </pic:nvPicPr>
                  <pic:blipFill>
                    <a:blip r:embed="rId3"/>
                    <a:stretch>
                      <a:fillRect/>
                    </a:stretch>
                  </pic:blipFill>
                  <pic:spPr>
                    <a:xfrm rot="0">
                      <a:off x="0" y="0"/>
                      <a:ext cx="6674484" cy="34493"/>
                    </a:xfrm>
                    <a:prstGeom prst="rect">
                      <a:avLst/>
                    </a:prstGeom>
                  </pic:spPr>
                </pic:pic>
              </a:graphicData>
            </a:graphic>
          </wp:anchor>
        </w:drawing>
      </w:r>
      <w:r>
        <w:rPr>
          <w:rFonts w:ascii="Microsoft YaHei" w:hAnsi="Microsoft YaHei" w:eastAsia="Microsoft YaHei" w:cs="Microsoft YaHei"/>
          <w:sz w:val="43"/>
          <w:szCs w:val="43"/>
          <w:position w:val="-39"/>
        </w:rPr>
        <w:drawing>
          <wp:inline distT="0" distB="0" distL="0" distR="0">
            <wp:extent cx="803148" cy="625475"/>
            <wp:effectExtent l="0" t="0" r="0" b="0"/>
            <wp:docPr id="6" name="IM 6"/>
            <wp:cNvGraphicFramePr/>
            <a:graphic>
              <a:graphicData uri="http://schemas.openxmlformats.org/drawingml/2006/picture">
                <pic:pic>
                  <pic:nvPicPr>
                    <pic:cNvPr id="6" name="IM 6"/>
                    <pic:cNvPicPr/>
                  </pic:nvPicPr>
                  <pic:blipFill>
                    <a:blip r:embed="rId4"/>
                    <a:stretch>
                      <a:fillRect/>
                    </a:stretch>
                  </pic:blipFill>
                  <pic:spPr>
                    <a:xfrm rot="0">
                      <a:off x="0" y="0"/>
                      <a:ext cx="803148" cy="625475"/>
                    </a:xfrm>
                    <a:prstGeom prst="rect">
                      <a:avLst/>
                    </a:prstGeom>
                  </pic:spPr>
                </pic:pic>
              </a:graphicData>
            </a:graphic>
          </wp:inline>
        </w:drawing>
      </w:r>
      <w:r>
        <w:rPr>
          <w:rFonts w:ascii="Microsoft YaHei" w:hAnsi="Microsoft YaHei" w:eastAsia="Microsoft YaHei" w:cs="Microsoft YaHei"/>
          <w:sz w:val="43"/>
          <w:szCs w:val="43"/>
          <w:spacing w:val="15"/>
        </w:rPr>
        <w:t xml:space="preserve">   </w:t>
      </w:r>
      <w:r>
        <w:rPr>
          <w:rFonts w:ascii="Microsoft YaHei" w:hAnsi="Microsoft YaHei" w:eastAsia="Microsoft YaHei" w:cs="Microsoft YaHei"/>
          <w:sz w:val="43"/>
          <w:szCs w:val="43"/>
          <w:spacing w:val="8"/>
        </w:rPr>
        <w:t>法规速递</w:t>
      </w:r>
    </w:p>
    <w:p>
      <w:pPr>
        <w:ind w:left="5" w:right="745" w:firstLine="579"/>
        <w:spacing w:before="158" w:line="272" w:lineRule="auto"/>
        <w:outlineLvl w:val="0"/>
        <w:rPr>
          <w:rFonts w:ascii="Microsoft YaHei" w:hAnsi="Microsoft YaHei" w:eastAsia="Microsoft YaHei" w:cs="Microsoft YaHei"/>
          <w:sz w:val="28"/>
          <w:szCs w:val="28"/>
        </w:rPr>
      </w:pPr>
      <w:r>
        <w:rPr>
          <w:rFonts w:ascii="Microsoft YaHei" w:hAnsi="Microsoft YaHei" w:eastAsia="Microsoft YaHei" w:cs="Microsoft YaHei"/>
          <w:sz w:val="28"/>
          <w:szCs w:val="28"/>
          <w:b/>
          <w:bCs/>
          <w:color w:val="0B0B0B"/>
          <w:spacing w:val="-1"/>
        </w:rPr>
        <w:t>1、上海证券交易所会员管理规则适用指引第5号——会员交易及相关系统接入与应用</w:t>
      </w:r>
      <w:r>
        <w:rPr>
          <w:rFonts w:ascii="Microsoft YaHei" w:hAnsi="Microsoft YaHei" w:eastAsia="Microsoft YaHei" w:cs="Microsoft YaHei"/>
          <w:sz w:val="28"/>
          <w:szCs w:val="28"/>
          <w:b/>
          <w:bCs/>
          <w:color w:val="0B0B0B"/>
          <w:spacing w:val="12"/>
        </w:rPr>
        <w:t xml:space="preserve"> </w:t>
      </w:r>
      <w:r>
        <w:rPr>
          <w:rFonts w:ascii="Microsoft YaHei" w:hAnsi="Microsoft YaHei" w:eastAsia="Microsoft YaHei" w:cs="Microsoft YaHei"/>
          <w:sz w:val="28"/>
          <w:szCs w:val="28"/>
          <w:b/>
          <w:bCs/>
          <w:color w:val="0B0B0B"/>
          <w:spacing w:val="-2"/>
        </w:rPr>
        <w:t>管理</w:t>
      </w:r>
    </w:p>
    <w:p>
      <w:pPr>
        <w:ind w:left="659" w:right="555" w:firstLine="489"/>
        <w:spacing w:before="293" w:line="349" w:lineRule="auto"/>
        <w:jc w:val="both"/>
        <w:rPr>
          <w:rFonts w:ascii="Microsoft YaHei" w:hAnsi="Microsoft YaHei" w:eastAsia="Microsoft YaHei" w:cs="Microsoft YaHei"/>
          <w:sz w:val="24"/>
          <w:szCs w:val="24"/>
        </w:rPr>
      </w:pPr>
      <w:r>
        <w:rPr>
          <w:rFonts w:ascii="Microsoft YaHei" w:hAnsi="Microsoft YaHei" w:eastAsia="Microsoft YaHei" w:cs="Microsoft YaHei"/>
          <w:sz w:val="24"/>
          <w:szCs w:val="24"/>
          <w:color w:val="0B0B0B"/>
          <w:spacing w:val="-5"/>
        </w:rPr>
        <w:t>为了进一步规范会员交易及相关系统接入与应用管理， 维护正常交易秩序， 上海证券交易所 （以</w:t>
      </w:r>
      <w:r>
        <w:rPr>
          <w:rFonts w:ascii="Microsoft YaHei" w:hAnsi="Microsoft YaHei" w:eastAsia="Microsoft YaHei" w:cs="Microsoft YaHei"/>
          <w:sz w:val="24"/>
          <w:szCs w:val="24"/>
          <w:color w:val="0B0B0B"/>
          <w:spacing w:val="2"/>
        </w:rPr>
        <w:t xml:space="preserve"> </w:t>
      </w:r>
      <w:r>
        <w:rPr>
          <w:rFonts w:ascii="Microsoft YaHei" w:hAnsi="Microsoft YaHei" w:eastAsia="Microsoft YaHei" w:cs="Microsoft YaHei"/>
          <w:sz w:val="24"/>
          <w:szCs w:val="24"/>
          <w:color w:val="0B0B0B"/>
          <w:spacing w:val="-3"/>
        </w:rPr>
        <w:t>下简称本所） 对《上海证券交易所会员交易及相关系统接入与应用指引》进行了修订，</w:t>
      </w:r>
      <w:r>
        <w:rPr>
          <w:rFonts w:ascii="Microsoft YaHei" w:hAnsi="Microsoft YaHei" w:eastAsia="Microsoft YaHei" w:cs="Microsoft YaHei"/>
          <w:sz w:val="24"/>
          <w:szCs w:val="24"/>
          <w:color w:val="0B0B0B"/>
          <w:spacing w:val="-4"/>
        </w:rPr>
        <w:t xml:space="preserve"> 强化会员交易</w:t>
      </w:r>
      <w:r>
        <w:rPr>
          <w:rFonts w:ascii="Microsoft YaHei" w:hAnsi="Microsoft YaHei" w:eastAsia="Microsoft YaHei" w:cs="Microsoft YaHei"/>
          <w:sz w:val="24"/>
          <w:szCs w:val="24"/>
          <w:color w:val="0B0B0B"/>
        </w:rPr>
        <w:t xml:space="preserve"> </w:t>
      </w:r>
      <w:r>
        <w:rPr>
          <w:rFonts w:ascii="Microsoft YaHei" w:hAnsi="Microsoft YaHei" w:eastAsia="Microsoft YaHei" w:cs="Microsoft YaHei"/>
          <w:sz w:val="24"/>
          <w:szCs w:val="24"/>
          <w:color w:val="0B0B0B"/>
          <w:spacing w:val="-3"/>
        </w:rPr>
        <w:t>技术系统可用性和业务连续性要求， 规范交易网关和客户端使用， 并更名为《上海证</w:t>
      </w:r>
      <w:r>
        <w:rPr>
          <w:rFonts w:ascii="Microsoft YaHei" w:hAnsi="Microsoft YaHei" w:eastAsia="Microsoft YaHei" w:cs="Microsoft YaHei"/>
          <w:sz w:val="24"/>
          <w:szCs w:val="24"/>
          <w:color w:val="0B0B0B"/>
          <w:spacing w:val="-4"/>
        </w:rPr>
        <w:t>券交易所会员管</w:t>
      </w:r>
      <w:r>
        <w:rPr>
          <w:rFonts w:ascii="Microsoft YaHei" w:hAnsi="Microsoft YaHei" w:eastAsia="Microsoft YaHei" w:cs="Microsoft YaHei"/>
          <w:sz w:val="24"/>
          <w:szCs w:val="24"/>
          <w:color w:val="0B0B0B"/>
        </w:rPr>
        <w:t xml:space="preserve"> </w:t>
      </w:r>
      <w:r>
        <w:rPr>
          <w:rFonts w:ascii="Microsoft YaHei" w:hAnsi="Microsoft YaHei" w:eastAsia="Microsoft YaHei" w:cs="Microsoft YaHei"/>
          <w:sz w:val="24"/>
          <w:szCs w:val="24"/>
          <w:color w:val="0B0B0B"/>
          <w:spacing w:val="-3"/>
        </w:rPr>
        <w:t>理规则适用指引第5号——会员交易及相关系统接入与应用管理</w:t>
      </w:r>
      <w:r>
        <w:rPr>
          <w:rFonts w:ascii="Microsoft YaHei" w:hAnsi="Microsoft YaHei" w:eastAsia="Microsoft YaHei" w:cs="Microsoft YaHei"/>
          <w:sz w:val="24"/>
          <w:szCs w:val="24"/>
          <w:color w:val="0B0B0B"/>
          <w:spacing w:val="-4"/>
        </w:rPr>
        <w:t>》 （详见附件</w:t>
      </w:r>
      <w:r>
        <w:rPr>
          <w:rFonts w:ascii="Microsoft YaHei" w:hAnsi="Microsoft YaHei" w:eastAsia="Microsoft YaHei" w:cs="Microsoft YaHei"/>
          <w:sz w:val="24"/>
          <w:szCs w:val="24"/>
          <w:color w:val="0B0B0B"/>
          <w:spacing w:val="-30"/>
        </w:rPr>
        <w:t>），</w:t>
      </w:r>
      <w:r>
        <w:rPr>
          <w:rFonts w:ascii="Microsoft YaHei" w:hAnsi="Microsoft YaHei" w:eastAsia="Microsoft YaHei" w:cs="Microsoft YaHei"/>
          <w:sz w:val="24"/>
          <w:szCs w:val="24"/>
          <w:color w:val="0B0B0B"/>
          <w:spacing w:val="-7"/>
        </w:rPr>
        <w:t xml:space="preserve"> </w:t>
      </w:r>
      <w:r>
        <w:rPr>
          <w:rFonts w:ascii="Microsoft YaHei" w:hAnsi="Microsoft YaHei" w:eastAsia="Microsoft YaHei" w:cs="Microsoft YaHei"/>
          <w:sz w:val="24"/>
          <w:szCs w:val="24"/>
          <w:color w:val="0B0B0B"/>
          <w:spacing w:val="-4"/>
        </w:rPr>
        <w:t>现予以发布， 并自</w:t>
      </w:r>
      <w:r>
        <w:rPr>
          <w:rFonts w:ascii="Microsoft YaHei" w:hAnsi="Microsoft YaHei" w:eastAsia="Microsoft YaHei" w:cs="Microsoft YaHei"/>
          <w:sz w:val="24"/>
          <w:szCs w:val="24"/>
          <w:color w:val="0B0B0B"/>
        </w:rPr>
        <w:t xml:space="preserve">  </w:t>
      </w:r>
      <w:r>
        <w:rPr>
          <w:rFonts w:ascii="Microsoft YaHei" w:hAnsi="Microsoft YaHei" w:eastAsia="Microsoft YaHei" w:cs="Microsoft YaHei"/>
          <w:sz w:val="24"/>
          <w:szCs w:val="24"/>
          <w:color w:val="0B0B0B"/>
          <w:spacing w:val="-1"/>
        </w:rPr>
        <w:t>发布之日起实施。</w:t>
      </w:r>
    </w:p>
    <w:p>
      <w:pPr>
        <w:ind w:left="695" w:right="532" w:firstLine="447"/>
        <w:spacing w:before="90" w:line="351" w:lineRule="auto"/>
        <w:rPr>
          <w:rFonts w:ascii="Microsoft YaHei" w:hAnsi="Microsoft YaHei" w:eastAsia="Microsoft YaHei" w:cs="Microsoft YaHei"/>
          <w:sz w:val="24"/>
          <w:szCs w:val="24"/>
        </w:rPr>
      </w:pPr>
      <w:r>
        <w:rPr>
          <w:rFonts w:ascii="Microsoft YaHei" w:hAnsi="Microsoft YaHei" w:eastAsia="Microsoft YaHei" w:cs="Microsoft YaHei"/>
          <w:sz w:val="24"/>
          <w:szCs w:val="24"/>
          <w:color w:val="0B0B0B"/>
          <w:spacing w:val="-2"/>
        </w:rPr>
        <w:t>本所于2020年2月21日发布的《上海证券交易所会员交易及相关系统接入与应用指引》 （上证发</w:t>
      </w:r>
      <w:r>
        <w:rPr>
          <w:rFonts w:ascii="Microsoft YaHei" w:hAnsi="Microsoft YaHei" w:eastAsia="Microsoft YaHei" w:cs="Microsoft YaHei"/>
          <w:sz w:val="24"/>
          <w:szCs w:val="24"/>
          <w:color w:val="0B0B0B"/>
          <w:spacing w:val="14"/>
        </w:rPr>
        <w:t xml:space="preserve"> </w:t>
      </w:r>
      <w:r>
        <w:rPr>
          <w:rFonts w:ascii="Microsoft YaHei" w:hAnsi="Microsoft YaHei" w:eastAsia="Microsoft YaHei" w:cs="Microsoft YaHei"/>
          <w:sz w:val="24"/>
          <w:szCs w:val="24"/>
          <w:color w:val="0B0B0B"/>
          <w:spacing w:val="-8"/>
        </w:rPr>
        <w:t>〔2020〕8号） 同时废止。</w:t>
      </w:r>
    </w:p>
    <w:p>
      <w:pPr>
        <w:ind w:left="1140"/>
        <w:spacing w:before="76" w:line="183" w:lineRule="auto"/>
        <w:rPr>
          <w:rFonts w:ascii="Microsoft YaHei" w:hAnsi="Microsoft YaHei" w:eastAsia="Microsoft YaHei" w:cs="Microsoft YaHei"/>
          <w:sz w:val="24"/>
          <w:szCs w:val="24"/>
        </w:rPr>
      </w:pPr>
      <w:r>
        <w:rPr>
          <w:rFonts w:ascii="Microsoft YaHei" w:hAnsi="Microsoft YaHei" w:eastAsia="Microsoft YaHei" w:cs="Microsoft YaHei"/>
          <w:sz w:val="24"/>
          <w:szCs w:val="24"/>
          <w:color w:val="0B0B0B"/>
          <w:spacing w:val="-1"/>
        </w:rPr>
        <w:t>特此通知。</w:t>
      </w:r>
    </w:p>
    <w:p>
      <w:pPr>
        <w:pStyle w:val="BodyText"/>
        <w:spacing w:line="271" w:lineRule="auto"/>
        <w:rPr/>
      </w:pPr>
      <w:r/>
    </w:p>
    <w:p>
      <w:pPr>
        <w:pStyle w:val="BodyText"/>
        <w:spacing w:line="271" w:lineRule="auto"/>
        <w:rPr/>
      </w:pPr>
      <w:r/>
    </w:p>
    <w:p>
      <w:pPr>
        <w:pStyle w:val="BodyText"/>
        <w:spacing w:line="271" w:lineRule="auto"/>
        <w:rPr/>
      </w:pPr>
      <w:r/>
    </w:p>
    <w:p>
      <w:pPr>
        <w:ind w:left="9561" w:right="383" w:firstLine="157"/>
        <w:spacing w:before="104" w:line="359" w:lineRule="auto"/>
        <w:rPr>
          <w:rFonts w:ascii="Microsoft YaHei" w:hAnsi="Microsoft YaHei" w:eastAsia="Microsoft YaHei" w:cs="Microsoft YaHei"/>
          <w:sz w:val="24"/>
          <w:szCs w:val="24"/>
        </w:rPr>
      </w:pPr>
      <w:r>
        <w:rPr>
          <w:rFonts w:ascii="Microsoft YaHei" w:hAnsi="Microsoft YaHei" w:eastAsia="Microsoft YaHei" w:cs="Microsoft YaHei"/>
          <w:sz w:val="24"/>
          <w:szCs w:val="24"/>
          <w:color w:val="0B0B0B"/>
          <w:spacing w:val="-1"/>
        </w:rPr>
        <w:t>上海证券交易所</w:t>
      </w:r>
      <w:r>
        <w:rPr>
          <w:rFonts w:ascii="Microsoft YaHei" w:hAnsi="Microsoft YaHei" w:eastAsia="Microsoft YaHei" w:cs="Microsoft YaHei"/>
          <w:sz w:val="24"/>
          <w:szCs w:val="24"/>
          <w:color w:val="0B0B0B"/>
        </w:rPr>
        <w:t xml:space="preserve"> </w:t>
      </w:r>
      <w:r>
        <w:rPr>
          <w:rFonts w:ascii="Microsoft YaHei" w:hAnsi="Microsoft YaHei" w:eastAsia="Microsoft YaHei" w:cs="Microsoft YaHei"/>
          <w:sz w:val="24"/>
          <w:szCs w:val="24"/>
          <w:color w:val="0B0B0B"/>
          <w:spacing w:val="-2"/>
        </w:rPr>
        <w:t>2024年08月30日</w:t>
      </w:r>
    </w:p>
    <w:p>
      <w:pPr>
        <w:pStyle w:val="BodyText"/>
        <w:spacing w:line="283" w:lineRule="auto"/>
        <w:rPr/>
      </w:pPr>
      <w:r/>
    </w:p>
    <w:p>
      <w:pPr>
        <w:pStyle w:val="BodyText"/>
        <w:spacing w:line="283" w:lineRule="auto"/>
        <w:rPr/>
      </w:pPr>
      <w:r/>
    </w:p>
    <w:p>
      <w:pPr>
        <w:pStyle w:val="BodyText"/>
        <w:spacing w:line="284" w:lineRule="auto"/>
        <w:rPr/>
      </w:pPr>
      <w:r/>
    </w:p>
    <w:p>
      <w:pPr>
        <w:pStyle w:val="BodyText"/>
        <w:spacing w:line="284" w:lineRule="auto"/>
        <w:rPr/>
      </w:pPr>
      <w:r/>
    </w:p>
    <w:p>
      <w:pPr>
        <w:ind w:firstLine="4502"/>
        <w:spacing w:line="3495" w:lineRule="exact"/>
        <w:rPr/>
      </w:pPr>
      <w:r>
        <w:rPr>
          <w:position w:val="-69"/>
        </w:rPr>
        <w:drawing>
          <wp:inline distT="0" distB="0" distL="0" distR="0">
            <wp:extent cx="2231136" cy="2218944"/>
            <wp:effectExtent l="0" t="0" r="0" b="0"/>
            <wp:docPr id="8" name="IM 8"/>
            <wp:cNvGraphicFramePr/>
            <a:graphic>
              <a:graphicData uri="http://schemas.openxmlformats.org/drawingml/2006/picture">
                <pic:pic>
                  <pic:nvPicPr>
                    <pic:cNvPr id="8" name="IM 8"/>
                    <pic:cNvPicPr/>
                  </pic:nvPicPr>
                  <pic:blipFill>
                    <a:blip r:embed="rId5"/>
                    <a:stretch>
                      <a:fillRect/>
                    </a:stretch>
                  </pic:blipFill>
                  <pic:spPr>
                    <a:xfrm rot="0">
                      <a:off x="0" y="0"/>
                      <a:ext cx="2231136" cy="2218944"/>
                    </a:xfrm>
                    <a:prstGeom prst="rect">
                      <a:avLst/>
                    </a:prstGeom>
                  </pic:spPr>
                </pic:pic>
              </a:graphicData>
            </a:graphic>
          </wp:inline>
        </w:drawing>
      </w:r>
    </w:p>
    <w:p>
      <w:pPr>
        <w:ind w:left="1739"/>
        <w:spacing w:before="310" w:line="183" w:lineRule="auto"/>
        <w:rPr>
          <w:rFonts w:ascii="Microsoft YaHei" w:hAnsi="Microsoft YaHei" w:eastAsia="Microsoft YaHei" w:cs="Microsoft YaHei"/>
          <w:sz w:val="24"/>
          <w:szCs w:val="24"/>
        </w:rPr>
      </w:pPr>
      <w:r>
        <w:rPr>
          <w:rFonts w:ascii="Microsoft YaHei" w:hAnsi="Microsoft YaHei" w:eastAsia="Microsoft YaHei" w:cs="Microsoft YaHei"/>
          <w:sz w:val="24"/>
          <w:szCs w:val="24"/>
          <w:b/>
          <w:bCs/>
          <w:color w:val="0B0B0B"/>
        </w:rPr>
        <w:t>上海证券交易所会员管理规则适用指引第5号——会员交易及相关系统</w:t>
      </w:r>
      <w:r>
        <w:rPr>
          <w:rFonts w:ascii="Microsoft YaHei" w:hAnsi="Microsoft YaHei" w:eastAsia="Microsoft YaHei" w:cs="Microsoft YaHei"/>
          <w:sz w:val="24"/>
          <w:szCs w:val="24"/>
          <w:b/>
          <w:bCs/>
          <w:color w:val="0B0B0B"/>
          <w:spacing w:val="-1"/>
        </w:rPr>
        <w:t>接入与应用管理</w:t>
      </w:r>
    </w:p>
    <w:p>
      <w:pPr>
        <w:spacing w:line="183" w:lineRule="auto"/>
        <w:sectPr>
          <w:headerReference w:type="default" r:id="rId2"/>
          <w:pgSz w:w="11910" w:h="16840"/>
          <w:pgMar w:top="10" w:right="134" w:bottom="0" w:left="0" w:header="0" w:footer="0" w:gutter="0"/>
        </w:sectPr>
        <w:rPr>
          <w:rFonts w:ascii="Microsoft YaHei" w:hAnsi="Microsoft YaHei" w:eastAsia="Microsoft YaHei" w:cs="Microsoft YaHei"/>
          <w:sz w:val="24"/>
          <w:szCs w:val="24"/>
        </w:rPr>
      </w:pPr>
    </w:p>
    <w:p>
      <w:pPr>
        <w:spacing w:before="54" w:line="184" w:lineRule="auto"/>
        <w:outlineLvl w:val="0"/>
        <w:rPr>
          <w:rFonts w:ascii="Microsoft YaHei" w:hAnsi="Microsoft YaHei" w:eastAsia="Microsoft YaHei" w:cs="Microsoft YaHei"/>
          <w:sz w:val="28"/>
          <w:szCs w:val="28"/>
        </w:rPr>
      </w:pPr>
      <w:r>
        <w:rPr>
          <w:rFonts w:ascii="Microsoft YaHei" w:hAnsi="Microsoft YaHei" w:eastAsia="Microsoft YaHei" w:cs="Microsoft YaHei"/>
          <w:sz w:val="28"/>
          <w:szCs w:val="28"/>
          <w:b/>
          <w:bCs/>
          <w:color w:val="0B0B0B"/>
        </w:rPr>
        <w:t>2、北京证券交易所向不特定合格投资者公开发行</w:t>
      </w:r>
      <w:r>
        <w:rPr>
          <w:rFonts w:ascii="Microsoft YaHei" w:hAnsi="Microsoft YaHei" w:eastAsia="Microsoft YaHei" w:cs="Microsoft YaHei"/>
          <w:sz w:val="28"/>
          <w:szCs w:val="28"/>
          <w:b/>
          <w:bCs/>
          <w:color w:val="0B0B0B"/>
          <w:spacing w:val="-1"/>
        </w:rPr>
        <w:t>股票并上市业务规则适用指引第2号</w:t>
      </w:r>
    </w:p>
    <w:p>
      <w:pPr>
        <w:pStyle w:val="BodyText"/>
        <w:spacing w:line="356" w:lineRule="auto"/>
        <w:rPr/>
      </w:pPr>
      <w:r/>
    </w:p>
    <w:p>
      <w:pPr>
        <w:ind w:left="87" w:right="36" w:firstLine="487"/>
        <w:spacing w:before="103" w:line="347" w:lineRule="auto"/>
        <w:jc w:val="both"/>
        <w:rPr>
          <w:rFonts w:ascii="Microsoft YaHei" w:hAnsi="Microsoft YaHei" w:eastAsia="Microsoft YaHei" w:cs="Microsoft YaHei"/>
          <w:sz w:val="24"/>
          <w:szCs w:val="24"/>
        </w:rPr>
      </w:pPr>
      <w:r>
        <w:rPr>
          <w:rFonts w:ascii="Microsoft YaHei" w:hAnsi="Microsoft YaHei" w:eastAsia="Microsoft YaHei" w:cs="Microsoft YaHei"/>
          <w:sz w:val="24"/>
          <w:szCs w:val="24"/>
          <w:color w:val="0B0B0B"/>
        </w:rPr>
        <w:t>为深入贯彻落实中央金融工作会议精神和《国务院关于加强监管防范风险</w:t>
      </w:r>
      <w:r>
        <w:rPr>
          <w:rFonts w:ascii="Microsoft YaHei" w:hAnsi="Microsoft YaHei" w:eastAsia="Microsoft YaHei" w:cs="Microsoft YaHei"/>
          <w:sz w:val="24"/>
          <w:szCs w:val="24"/>
          <w:color w:val="0B0B0B"/>
          <w:spacing w:val="-1"/>
        </w:rPr>
        <w:t>推动资本市场高质量发</w:t>
      </w:r>
      <w:r>
        <w:rPr>
          <w:rFonts w:ascii="Microsoft YaHei" w:hAnsi="Microsoft YaHei" w:eastAsia="Microsoft YaHei" w:cs="Microsoft YaHei"/>
          <w:sz w:val="24"/>
          <w:szCs w:val="24"/>
          <w:color w:val="0B0B0B"/>
        </w:rPr>
        <w:t xml:space="preserve">   </w:t>
      </w:r>
      <w:r>
        <w:rPr>
          <w:rFonts w:ascii="Microsoft YaHei" w:hAnsi="Microsoft YaHei" w:eastAsia="Microsoft YaHei" w:cs="Microsoft YaHei"/>
          <w:sz w:val="24"/>
          <w:szCs w:val="24"/>
          <w:color w:val="0B0B0B"/>
          <w:spacing w:val="-6"/>
        </w:rPr>
        <w:t>展的若干意见》， 提高北京证券交易所 （以下简称本所） 发行上市审核透明度， 本所制定了《北京证</w:t>
      </w:r>
      <w:r>
        <w:rPr>
          <w:rFonts w:ascii="Microsoft YaHei" w:hAnsi="Microsoft YaHei" w:eastAsia="Microsoft YaHei" w:cs="Microsoft YaHei"/>
          <w:sz w:val="24"/>
          <w:szCs w:val="24"/>
          <w:color w:val="0B0B0B"/>
        </w:rPr>
        <w:t xml:space="preserve">   </w:t>
      </w:r>
      <w:r>
        <w:rPr>
          <w:rFonts w:ascii="Microsoft YaHei" w:hAnsi="Microsoft YaHei" w:eastAsia="Microsoft YaHei" w:cs="Microsoft YaHei"/>
          <w:sz w:val="24"/>
          <w:szCs w:val="24"/>
          <w:color w:val="0B0B0B"/>
          <w:spacing w:val="-4"/>
        </w:rPr>
        <w:t>券交易所向不特定合格投资者公开发行股票并上市业务规则适用指引第2号》， 现予以发布，</w:t>
      </w:r>
      <w:r>
        <w:rPr>
          <w:rFonts w:ascii="Microsoft YaHei" w:hAnsi="Microsoft YaHei" w:eastAsia="Microsoft YaHei" w:cs="Microsoft YaHei"/>
          <w:sz w:val="24"/>
          <w:szCs w:val="24"/>
          <w:color w:val="0B0B0B"/>
          <w:spacing w:val="36"/>
        </w:rPr>
        <w:t xml:space="preserve"> </w:t>
      </w:r>
      <w:r>
        <w:rPr>
          <w:rFonts w:ascii="Microsoft YaHei" w:hAnsi="Microsoft YaHei" w:eastAsia="Microsoft YaHei" w:cs="Microsoft YaHei"/>
          <w:sz w:val="24"/>
          <w:szCs w:val="24"/>
          <w:color w:val="0B0B0B"/>
          <w:spacing w:val="-4"/>
        </w:rPr>
        <w:t>自发布之</w:t>
      </w:r>
      <w:r>
        <w:rPr>
          <w:rFonts w:ascii="Microsoft YaHei" w:hAnsi="Microsoft YaHei" w:eastAsia="Microsoft YaHei" w:cs="Microsoft YaHei"/>
          <w:sz w:val="24"/>
          <w:szCs w:val="24"/>
          <w:color w:val="0B0B0B"/>
        </w:rPr>
        <w:t xml:space="preserve"> </w:t>
      </w:r>
      <w:r>
        <w:rPr>
          <w:rFonts w:ascii="Microsoft YaHei" w:hAnsi="Microsoft YaHei" w:eastAsia="Microsoft YaHei" w:cs="Microsoft YaHei"/>
          <w:sz w:val="24"/>
          <w:szCs w:val="24"/>
          <w:color w:val="0B0B0B"/>
          <w:spacing w:val="-1"/>
        </w:rPr>
        <w:t>日起施行。</w:t>
      </w:r>
    </w:p>
    <w:p>
      <w:pPr>
        <w:ind w:left="566"/>
        <w:spacing w:before="137" w:line="182" w:lineRule="auto"/>
        <w:rPr>
          <w:rFonts w:ascii="Microsoft YaHei" w:hAnsi="Microsoft YaHei" w:eastAsia="Microsoft YaHei" w:cs="Microsoft YaHei"/>
          <w:sz w:val="24"/>
          <w:szCs w:val="24"/>
        </w:rPr>
      </w:pPr>
      <w:r>
        <w:rPr>
          <w:rFonts w:ascii="Microsoft YaHei" w:hAnsi="Microsoft YaHei" w:eastAsia="Microsoft YaHei" w:cs="Microsoft YaHei"/>
          <w:sz w:val="24"/>
          <w:szCs w:val="24"/>
          <w:color w:val="0B0B0B"/>
          <w:spacing w:val="-1"/>
        </w:rPr>
        <w:t>特此公告。</w:t>
      </w:r>
    </w:p>
    <w:p>
      <w:pPr>
        <w:pStyle w:val="BodyText"/>
        <w:spacing w:line="284" w:lineRule="auto"/>
        <w:rPr/>
      </w:pPr>
      <w:r/>
    </w:p>
    <w:p>
      <w:pPr>
        <w:pStyle w:val="BodyText"/>
        <w:spacing w:line="285" w:lineRule="auto"/>
        <w:rPr/>
      </w:pPr>
      <w:r/>
    </w:p>
    <w:p>
      <w:pPr>
        <w:pStyle w:val="BodyText"/>
        <w:spacing w:line="285" w:lineRule="auto"/>
        <w:rPr/>
      </w:pPr>
      <w:r/>
    </w:p>
    <w:p>
      <w:pPr>
        <w:pStyle w:val="BodyText"/>
        <w:spacing w:line="285" w:lineRule="auto"/>
        <w:rPr/>
      </w:pPr>
      <w:r/>
    </w:p>
    <w:p>
      <w:pPr>
        <w:pStyle w:val="BodyText"/>
        <w:spacing w:line="285" w:lineRule="auto"/>
        <w:rPr/>
      </w:pPr>
      <w:r/>
    </w:p>
    <w:p>
      <w:pPr>
        <w:ind w:left="9128" w:firstLine="13"/>
        <w:spacing w:before="103" w:line="360" w:lineRule="auto"/>
        <w:rPr>
          <w:rFonts w:ascii="Microsoft YaHei" w:hAnsi="Microsoft YaHei" w:eastAsia="Microsoft YaHei" w:cs="Microsoft YaHei"/>
          <w:sz w:val="24"/>
          <w:szCs w:val="24"/>
        </w:rPr>
      </w:pPr>
      <w:r>
        <w:rPr>
          <w:rFonts w:ascii="Microsoft YaHei" w:hAnsi="Microsoft YaHei" w:eastAsia="Microsoft YaHei" w:cs="Microsoft YaHei"/>
          <w:sz w:val="24"/>
          <w:szCs w:val="24"/>
          <w:color w:val="0B0B0B"/>
          <w:spacing w:val="-1"/>
        </w:rPr>
        <w:t>北京证券交易所</w:t>
      </w:r>
      <w:r>
        <w:rPr>
          <w:rFonts w:ascii="Microsoft YaHei" w:hAnsi="Microsoft YaHei" w:eastAsia="Microsoft YaHei" w:cs="Microsoft YaHei"/>
          <w:sz w:val="24"/>
          <w:szCs w:val="24"/>
          <w:color w:val="0B0B0B"/>
          <w:spacing w:val="2"/>
        </w:rPr>
        <w:t xml:space="preserve"> </w:t>
      </w:r>
      <w:r>
        <w:rPr>
          <w:rFonts w:ascii="Microsoft YaHei" w:hAnsi="Microsoft YaHei" w:eastAsia="Microsoft YaHei" w:cs="Microsoft YaHei"/>
          <w:sz w:val="24"/>
          <w:szCs w:val="24"/>
          <w:color w:val="0B0B0B"/>
          <w:spacing w:val="-2"/>
        </w:rPr>
        <w:t>2024年8月30日</w:t>
      </w:r>
    </w:p>
    <w:p>
      <w:pPr>
        <w:pStyle w:val="BodyText"/>
        <w:spacing w:line="247" w:lineRule="auto"/>
        <w:rPr/>
      </w:pPr>
      <w:r/>
    </w:p>
    <w:p>
      <w:pPr>
        <w:pStyle w:val="BodyText"/>
        <w:spacing w:line="247"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ind w:firstLine="3964"/>
        <w:spacing w:before="1" w:line="3530" w:lineRule="exact"/>
        <w:rPr/>
      </w:pPr>
      <w:r>
        <w:rPr>
          <w:position w:val="-70"/>
        </w:rPr>
        <w:drawing>
          <wp:inline distT="0" distB="0" distL="0" distR="0">
            <wp:extent cx="2183892" cy="2241804"/>
            <wp:effectExtent l="0" t="0" r="0" b="0"/>
            <wp:docPr id="10" name="IM 10"/>
            <wp:cNvGraphicFramePr/>
            <a:graphic>
              <a:graphicData uri="http://schemas.openxmlformats.org/drawingml/2006/picture">
                <pic:pic>
                  <pic:nvPicPr>
                    <pic:cNvPr id="10" name="IM 10"/>
                    <pic:cNvPicPr/>
                  </pic:nvPicPr>
                  <pic:blipFill>
                    <a:blip r:embed="rId6"/>
                    <a:stretch>
                      <a:fillRect/>
                    </a:stretch>
                  </pic:blipFill>
                  <pic:spPr>
                    <a:xfrm rot="0">
                      <a:off x="0" y="0"/>
                      <a:ext cx="2183892" cy="2241804"/>
                    </a:xfrm>
                    <a:prstGeom prst="rect">
                      <a:avLst/>
                    </a:prstGeom>
                  </pic:spPr>
                </pic:pic>
              </a:graphicData>
            </a:graphic>
          </wp:inline>
        </w:drawing>
      </w:r>
    </w:p>
    <w:p>
      <w:pPr>
        <w:ind w:left="1421"/>
        <w:spacing w:before="323" w:line="183" w:lineRule="auto"/>
        <w:rPr>
          <w:rFonts w:ascii="Microsoft YaHei" w:hAnsi="Microsoft YaHei" w:eastAsia="Microsoft YaHei" w:cs="Microsoft YaHei"/>
          <w:sz w:val="24"/>
          <w:szCs w:val="24"/>
        </w:rPr>
      </w:pPr>
      <w:r>
        <w:rPr>
          <w:rFonts w:ascii="Microsoft YaHei" w:hAnsi="Microsoft YaHei" w:eastAsia="Microsoft YaHei" w:cs="Microsoft YaHei"/>
          <w:sz w:val="24"/>
          <w:szCs w:val="24"/>
          <w:b/>
          <w:bCs/>
          <w:color w:val="0B0B0B"/>
        </w:rPr>
        <w:t>北京证券交易所向不特定合格投资者公开发行股票并上市业务规则适用指</w:t>
      </w:r>
      <w:r>
        <w:rPr>
          <w:rFonts w:ascii="Microsoft YaHei" w:hAnsi="Microsoft YaHei" w:eastAsia="Microsoft YaHei" w:cs="Microsoft YaHei"/>
          <w:sz w:val="24"/>
          <w:szCs w:val="24"/>
          <w:b/>
          <w:bCs/>
          <w:color w:val="0B0B0B"/>
          <w:spacing w:val="-1"/>
        </w:rPr>
        <w:t>引第2号</w:t>
      </w:r>
    </w:p>
    <w:p>
      <w:pPr>
        <w:spacing w:line="183" w:lineRule="auto"/>
        <w:sectPr>
          <w:pgSz w:w="11910" w:h="16840"/>
          <w:pgMar w:top="400" w:right="517" w:bottom="0" w:left="573" w:header="0" w:footer="0" w:gutter="0"/>
        </w:sectPr>
        <w:rPr>
          <w:rFonts w:ascii="Microsoft YaHei" w:hAnsi="Microsoft YaHei" w:eastAsia="Microsoft YaHei" w:cs="Microsoft YaHei"/>
          <w:sz w:val="24"/>
          <w:szCs w:val="24"/>
        </w:rPr>
      </w:pPr>
    </w:p>
    <w:p>
      <w:pPr>
        <w:ind w:firstLine="4"/>
        <w:spacing w:line="1137" w:lineRule="exact"/>
        <w:rPr/>
      </w:pPr>
      <w:r>
        <w:rPr>
          <w:position w:val="-22"/>
        </w:rPr>
        <w:pict>
          <v:group id="_x0000_s2" style="mso-position-vertical-relative:line;mso-position-horizontal-relative:char;width:67.85pt;height:56.9pt;" filled="false" stroked="false" coordsize="1356,1138" coordorigin="0,0">
            <v:shape id="_x0000_s4" style="position:absolute;left:0;top:0;width:1356;height:1138;" fillcolor="#A61C1F" filled="true" stroked="false" coordsize="1356,1138" coordorigin="0,0" path="m,l1356,0l1356,1137l0,1137l0,0xe"/>
            <v:shape id="_x0000_s6" style="position:absolute;left:237;top:113;width:819;height:911;" fillcolor="#FFFFFF" filled="true" stroked="false" coordsize="819,911" coordorigin="0,0" path="m594,776l223,776l213,770l213,730l223,725l594,725l604,730l604,770l594,776xm582,707l237,707l225,698l225,687l213,635l180,583l136,532l88,480l45,423l12,361l0,297l0,290l5,237l22,187l50,143l84,105l127,72l176,46l230,25l287,10l347,2l409,0l470,2l530,10l587,25l641,46l690,72l733,105l736,108l366,108l358,116l358,125l354,148l353,151l233,151l202,175l190,185l177,195l172,200l172,208l177,215l207,242l210,245l210,248l202,258l196,268l190,280l185,290l185,291l183,291l182,293l170,293l124,297l116,302l116,370l124,375l136,376l182,381l183,381l185,382l185,385l190,395l196,405l202,415l210,425l210,428l200,437l192,445l177,460l172,465l172,473l177,480l225,516l233,521l353,521l356,538l358,548l358,558l366,565l648,565l637,577l604,630l592,687l592,698l582,707xm526,182l523,181l497,171l483,167l469,165l467,165l467,162l466,160l466,148l462,136l462,125l459,116l452,108l736,108l768,143l773,151l587,151l574,153l567,157l530,181l528,181l526,182xm293,182l292,181l290,181l280,175l270,170l262,163l252,157l243,153l233,151l353,151l352,160l352,162l350,165l348,165l334,167l322,171l307,176l294,181l293,182xm686,521l587,521l648,473l646,465l640,460l626,445l617,437l608,428l608,427l610,425l617,415l622,405l627,395l632,385l632,382l634,381l638,381l683,376l693,375l703,370l703,302l693,297l683,296l648,293l638,293l634,291l632,291l632,290l627,280l622,268l617,258l610,248l608,247l608,245l610,242l640,215l646,208l648,200l640,195l628,185l617,175l592,157l587,151l773,151l796,187l813,237l818,290l818,297l806,361l773,421l730,475l686,521xm410,447l354,438l308,415l278,380l267,336l278,295l308,260l354,235l410,227l464,235l509,260l539,295l550,336l539,380l509,415l464,438l410,447xm353,521l243,521l252,515l262,510l270,505l280,500l290,493l292,491l294,491l307,497l322,502l334,505l348,508l352,511l352,515l353,521xm648,565l452,565l459,558l462,548l462,538l466,525l466,513l467,511l467,510l469,508l497,502l510,497l523,491l528,491l530,493l539,500l548,505l557,510l567,515l574,521l686,521l681,526l648,565xm560,911l257,911l247,905l247,865l257,858l560,858l570,865l570,905l560,911xm582,845l235,845l227,838l227,796l235,790l582,790l592,796l592,838l582,845e"/>
          </v:group>
        </w:pict>
      </w:r>
    </w:p>
    <w:p>
      <w:pPr>
        <w:pStyle w:val="BodyText"/>
        <w:spacing w:line="14" w:lineRule="auto"/>
        <w:rPr>
          <w:sz w:val="2"/>
        </w:rPr>
      </w:pPr>
      <w:r>
        <w:rPr>
          <w:sz w:val="2"/>
          <w:szCs w:val="2"/>
        </w:rPr>
        <w:br w:type="column"/>
      </w:r>
    </w:p>
    <w:p>
      <w:pPr>
        <w:spacing w:before="305" w:line="186" w:lineRule="auto"/>
        <w:rPr>
          <w:rFonts w:ascii="Microsoft YaHei" w:hAnsi="Microsoft YaHei" w:eastAsia="Microsoft YaHei" w:cs="Microsoft YaHei"/>
          <w:sz w:val="43"/>
          <w:szCs w:val="43"/>
        </w:rPr>
      </w:pPr>
      <w:r>
        <w:rPr>
          <w:rFonts w:ascii="Microsoft YaHei" w:hAnsi="Microsoft YaHei" w:eastAsia="Microsoft YaHei" w:cs="Microsoft YaHei"/>
          <w:sz w:val="43"/>
          <w:szCs w:val="43"/>
          <w:spacing w:val="7"/>
        </w:rPr>
        <w:t>监管动态</w:t>
      </w:r>
    </w:p>
    <w:p>
      <w:pPr>
        <w:spacing w:line="186" w:lineRule="auto"/>
        <w:sectPr>
          <w:pgSz w:w="11910" w:h="16840"/>
          <w:pgMar w:top="9" w:right="69" w:bottom="0" w:left="0" w:header="0" w:footer="0" w:gutter="0"/>
          <w:cols w:equalWidth="0" w:num="2">
            <w:col w:w="1503" w:space="100"/>
            <w:col w:w="10239" w:space="0"/>
          </w:cols>
        </w:sectPr>
        <w:rPr>
          <w:rFonts w:ascii="Microsoft YaHei" w:hAnsi="Microsoft YaHei" w:eastAsia="Microsoft YaHei" w:cs="Microsoft YaHei"/>
          <w:sz w:val="43"/>
          <w:szCs w:val="43"/>
        </w:rPr>
      </w:pPr>
    </w:p>
    <w:p>
      <w:pPr>
        <w:pStyle w:val="BodyText"/>
        <w:spacing w:line="424" w:lineRule="auto"/>
        <w:rPr/>
      </w:pPr>
      <w:r>
        <w:drawing>
          <wp:anchor distT="0" distB="0" distL="0" distR="0" simplePos="0" relativeHeight="251661312" behindDoc="0" locked="0" layoutInCell="1" allowOverlap="1">
            <wp:simplePos x="0" y="0"/>
            <wp:positionH relativeFrom="column">
              <wp:posOffset>843915</wp:posOffset>
            </wp:positionH>
            <wp:positionV relativeFrom="paragraph">
              <wp:posOffset>-34022</wp:posOffset>
            </wp:positionV>
            <wp:extent cx="6675119" cy="32244"/>
            <wp:effectExtent l="0" t="0" r="0" b="0"/>
            <wp:wrapNone/>
            <wp:docPr id="12" name="IM 12"/>
            <wp:cNvGraphicFramePr/>
            <a:graphic>
              <a:graphicData uri="http://schemas.openxmlformats.org/drawingml/2006/picture">
                <pic:pic>
                  <pic:nvPicPr>
                    <pic:cNvPr id="12" name="IM 12"/>
                    <pic:cNvPicPr/>
                  </pic:nvPicPr>
                  <pic:blipFill>
                    <a:blip r:embed="rId7"/>
                    <a:stretch>
                      <a:fillRect/>
                    </a:stretch>
                  </pic:blipFill>
                  <pic:spPr>
                    <a:xfrm rot="0">
                      <a:off x="0" y="0"/>
                      <a:ext cx="6675119" cy="32244"/>
                    </a:xfrm>
                    <a:prstGeom prst="rect">
                      <a:avLst/>
                    </a:prstGeom>
                  </pic:spPr>
                </pic:pic>
              </a:graphicData>
            </a:graphic>
          </wp:anchor>
        </w:drawing>
      </w:r>
      <w:r/>
    </w:p>
    <w:p>
      <w:pPr>
        <w:ind w:firstLine="21"/>
        <w:spacing w:line="924" w:lineRule="exact"/>
        <w:rPr/>
      </w:pPr>
      <w:r>
        <w:rPr>
          <w:position w:val="-18"/>
        </w:rPr>
        <w:pict>
          <v:group id="_x0000_s8" style="mso-position-vertical-relative:line;mso-position-horizontal-relative:char;width:134.3pt;height:46.25pt;" filled="false" stroked="false" coordsize="2686,925" coordorigin="0,0">
            <v:shape id="_x0000_s10" style="position:absolute;left:0;top:0;width:2686;height:925;" filled="false" stroked="false" type="#_x0000_t75">
              <v:imagedata o:title="" r:id="rId8"/>
            </v:shape>
            <v:shape id="_x0000_s12" style="position:absolute;left:-20;top:-20;width:2726;height:965;" filled="false" stroked="false" type="#_x0000_t202">
              <v:fill on="false"/>
              <v:stroke on="false"/>
              <v:path/>
              <v:imagedata o:title=""/>
              <o:lock v:ext="edit" aspectratio="false"/>
              <v:textbox inset="0mm,0mm,0mm,0mm">
                <w:txbxContent>
                  <w:p>
                    <w:pPr>
                      <w:ind w:left="483"/>
                      <w:spacing w:before="246" w:line="184" w:lineRule="auto"/>
                      <w:rPr>
                        <w:rFonts w:ascii="Microsoft YaHei" w:hAnsi="Microsoft YaHei" w:eastAsia="Microsoft YaHei" w:cs="Microsoft YaHei"/>
                        <w:sz w:val="28"/>
                        <w:szCs w:val="28"/>
                      </w:rPr>
                    </w:pPr>
                    <w:r>
                      <w:rPr>
                        <w:rFonts w:ascii="Microsoft YaHei" w:hAnsi="Microsoft YaHei" w:eastAsia="Microsoft YaHei" w:cs="Microsoft YaHei"/>
                        <w:sz w:val="28"/>
                        <w:szCs w:val="28"/>
                        <w:b/>
                        <w:bCs/>
                        <w:color w:val="FFFFFF"/>
                        <w:spacing w:val="-2"/>
                      </w:rPr>
                      <w:t>市场监管概览</w:t>
                    </w:r>
                  </w:p>
                </w:txbxContent>
              </v:textbox>
            </v:shape>
          </v:group>
        </w:pict>
      </w:r>
    </w:p>
    <w:p>
      <w:pPr>
        <w:ind w:left="6018" w:right="592" w:firstLine="490"/>
        <w:spacing w:before="214" w:line="359" w:lineRule="auto"/>
        <w:jc w:val="both"/>
        <w:rPr>
          <w:rFonts w:ascii="Microsoft YaHei" w:hAnsi="Microsoft YaHei" w:eastAsia="Microsoft YaHei" w:cs="Microsoft YaHei"/>
          <w:sz w:val="24"/>
          <w:szCs w:val="24"/>
        </w:rPr>
      </w:pPr>
      <w:r>
        <w:drawing>
          <wp:anchor distT="0" distB="0" distL="0" distR="0" simplePos="0" relativeHeight="251659264" behindDoc="1" locked="0" layoutInCell="1" allowOverlap="1">
            <wp:simplePos x="0" y="0"/>
            <wp:positionH relativeFrom="column">
              <wp:posOffset>112395</wp:posOffset>
            </wp:positionH>
            <wp:positionV relativeFrom="paragraph">
              <wp:posOffset>181965</wp:posOffset>
            </wp:positionV>
            <wp:extent cx="3721734" cy="2638425"/>
            <wp:effectExtent l="0" t="0" r="0" b="0"/>
            <wp:wrapNone/>
            <wp:docPr id="14" name="IM 14"/>
            <wp:cNvGraphicFramePr/>
            <a:graphic>
              <a:graphicData uri="http://schemas.openxmlformats.org/drawingml/2006/picture">
                <pic:pic>
                  <pic:nvPicPr>
                    <pic:cNvPr id="14" name="IM 14"/>
                    <pic:cNvPicPr/>
                  </pic:nvPicPr>
                  <pic:blipFill>
                    <a:blip r:embed="rId9"/>
                    <a:stretch>
                      <a:fillRect/>
                    </a:stretch>
                  </pic:blipFill>
                  <pic:spPr>
                    <a:xfrm rot="0">
                      <a:off x="0" y="0"/>
                      <a:ext cx="3721734" cy="2638425"/>
                    </a:xfrm>
                    <a:prstGeom prst="rect">
                      <a:avLst/>
                    </a:prstGeom>
                  </pic:spPr>
                </pic:pic>
              </a:graphicData>
            </a:graphic>
          </wp:anchor>
        </w:drawing>
      </w:r>
      <w:r>
        <w:rPr>
          <w:rFonts w:ascii="Microsoft YaHei" w:hAnsi="Microsoft YaHei" w:eastAsia="Microsoft YaHei" w:cs="Microsoft YaHei"/>
          <w:sz w:val="24"/>
          <w:szCs w:val="24"/>
          <w:spacing w:val="1"/>
        </w:rPr>
        <w:t>2024年8月26日-9月1日， 证监会作出3份监</w:t>
      </w:r>
      <w:r>
        <w:rPr>
          <w:rFonts w:ascii="Microsoft YaHei" w:hAnsi="Microsoft YaHei" w:eastAsia="Microsoft YaHei" w:cs="Microsoft YaHei"/>
          <w:sz w:val="24"/>
          <w:szCs w:val="24"/>
          <w:spacing w:val="12"/>
        </w:rPr>
        <w:t xml:space="preserve"> </w:t>
      </w:r>
      <w:r>
        <w:rPr>
          <w:rFonts w:ascii="Microsoft YaHei" w:hAnsi="Microsoft YaHei" w:eastAsia="Microsoft YaHei" w:cs="Microsoft YaHei"/>
          <w:sz w:val="24"/>
          <w:szCs w:val="24"/>
        </w:rPr>
        <w:t>管文书； 证监局作出33份监管文书； 上交所作出</w:t>
      </w:r>
      <w:r>
        <w:rPr>
          <w:rFonts w:ascii="Microsoft YaHei" w:hAnsi="Microsoft YaHei" w:eastAsia="Microsoft YaHei" w:cs="Microsoft YaHei"/>
          <w:sz w:val="24"/>
          <w:szCs w:val="24"/>
          <w:spacing w:val="5"/>
        </w:rPr>
        <w:t xml:space="preserve"> </w:t>
      </w:r>
      <w:r>
        <w:rPr>
          <w:rFonts w:ascii="Microsoft YaHei" w:hAnsi="Microsoft YaHei" w:eastAsia="Microsoft YaHei" w:cs="Microsoft YaHei"/>
          <w:sz w:val="24"/>
          <w:szCs w:val="24"/>
          <w:spacing w:val="-4"/>
        </w:rPr>
        <w:t>12份监管文书； 深交所作出4份监管文书。</w:t>
      </w:r>
    </w:p>
    <w:p>
      <w:pPr>
        <w:ind w:left="6017" w:right="498" w:firstLine="491"/>
        <w:spacing w:before="4" w:line="358" w:lineRule="auto"/>
        <w:jc w:val="both"/>
        <w:rPr>
          <w:rFonts w:ascii="Microsoft YaHei" w:hAnsi="Microsoft YaHei" w:eastAsia="Microsoft YaHei" w:cs="Microsoft YaHei"/>
          <w:sz w:val="24"/>
          <w:szCs w:val="24"/>
        </w:rPr>
      </w:pPr>
      <w:r>
        <w:rPr>
          <w:rFonts w:ascii="Microsoft YaHei" w:hAnsi="Microsoft YaHei" w:eastAsia="Microsoft YaHei" w:cs="Microsoft YaHei"/>
          <w:sz w:val="24"/>
          <w:szCs w:val="24"/>
          <w:spacing w:val="3"/>
        </w:rPr>
        <w:t>2024年8月26日-9月1</w:t>
      </w:r>
      <w:r>
        <w:rPr>
          <w:rFonts w:ascii="Microsoft YaHei" w:hAnsi="Microsoft YaHei" w:eastAsia="Microsoft YaHei" w:cs="Microsoft YaHei"/>
          <w:sz w:val="24"/>
          <w:szCs w:val="24"/>
          <w:spacing w:val="-18"/>
        </w:rPr>
        <w:t xml:space="preserve"> </w:t>
      </w:r>
      <w:r>
        <w:rPr>
          <w:rFonts w:ascii="Microsoft YaHei" w:hAnsi="Microsoft YaHei" w:eastAsia="Microsoft YaHei" w:cs="Microsoft YaHei"/>
          <w:sz w:val="24"/>
          <w:szCs w:val="24"/>
          <w:spacing w:val="3"/>
        </w:rPr>
        <w:t>日， 证监会作出1份行</w:t>
      </w:r>
      <w:r>
        <w:rPr>
          <w:rFonts w:ascii="Microsoft YaHei" w:hAnsi="Microsoft YaHei" w:eastAsia="Microsoft YaHei" w:cs="Microsoft YaHei"/>
          <w:sz w:val="24"/>
          <w:szCs w:val="24"/>
        </w:rPr>
        <w:t xml:space="preserve"> </w:t>
      </w:r>
      <w:r>
        <w:rPr>
          <w:rFonts w:ascii="Microsoft YaHei" w:hAnsi="Microsoft YaHei" w:eastAsia="Microsoft YaHei" w:cs="Microsoft YaHei"/>
          <w:sz w:val="24"/>
          <w:szCs w:val="24"/>
        </w:rPr>
        <w:t>政处罚事先告知书， 对2个对象立案调查； 证监局 </w:t>
      </w:r>
      <w:r>
        <w:rPr>
          <w:rFonts w:ascii="Microsoft YaHei" w:hAnsi="Microsoft YaHei" w:eastAsia="Microsoft YaHei" w:cs="Microsoft YaHei"/>
          <w:sz w:val="24"/>
          <w:szCs w:val="24"/>
          <w:spacing w:val="1"/>
        </w:rPr>
        <w:t>作出3份行政处罚决定书， 30份行政监管措施决定</w:t>
      </w:r>
      <w:r>
        <w:rPr>
          <w:rFonts w:ascii="Microsoft YaHei" w:hAnsi="Microsoft YaHei" w:eastAsia="Microsoft YaHei" w:cs="Microsoft YaHei"/>
          <w:sz w:val="24"/>
          <w:szCs w:val="24"/>
          <w:spacing w:val="7"/>
        </w:rPr>
        <w:t xml:space="preserve"> </w:t>
      </w:r>
      <w:r>
        <w:rPr>
          <w:rFonts w:ascii="Microsoft YaHei" w:hAnsi="Microsoft YaHei" w:eastAsia="Microsoft YaHei" w:cs="Microsoft YaHei"/>
          <w:sz w:val="24"/>
          <w:szCs w:val="24"/>
          <w:spacing w:val="-2"/>
        </w:rPr>
        <w:t>书。</w:t>
      </w:r>
    </w:p>
    <w:p>
      <w:pPr>
        <w:ind w:left="6013" w:right="592" w:firstLine="600"/>
        <w:spacing w:before="10" w:line="360" w:lineRule="auto"/>
        <w:jc w:val="both"/>
        <w:rPr>
          <w:rFonts w:ascii="Microsoft YaHei" w:hAnsi="Microsoft YaHei" w:eastAsia="Microsoft YaHei" w:cs="Microsoft YaHei"/>
          <w:sz w:val="24"/>
          <w:szCs w:val="24"/>
        </w:rPr>
      </w:pPr>
      <w:r>
        <w:drawing>
          <wp:anchor distT="0" distB="0" distL="0" distR="0" simplePos="0" relativeHeight="251660288" behindDoc="0" locked="0" layoutInCell="1" allowOverlap="1">
            <wp:simplePos x="0" y="0"/>
            <wp:positionH relativeFrom="column">
              <wp:posOffset>0</wp:posOffset>
            </wp:positionH>
            <wp:positionV relativeFrom="paragraph">
              <wp:posOffset>409181</wp:posOffset>
            </wp:positionV>
            <wp:extent cx="3733482" cy="2727325"/>
            <wp:effectExtent l="0" t="0" r="0" b="0"/>
            <wp:wrapNone/>
            <wp:docPr id="16" name="IM 16"/>
            <wp:cNvGraphicFramePr/>
            <a:graphic>
              <a:graphicData uri="http://schemas.openxmlformats.org/drawingml/2006/picture">
                <pic:pic>
                  <pic:nvPicPr>
                    <pic:cNvPr id="16" name="IM 16"/>
                    <pic:cNvPicPr/>
                  </pic:nvPicPr>
                  <pic:blipFill>
                    <a:blip r:embed="rId10"/>
                    <a:stretch>
                      <a:fillRect/>
                    </a:stretch>
                  </pic:blipFill>
                  <pic:spPr>
                    <a:xfrm rot="0">
                      <a:off x="0" y="0"/>
                      <a:ext cx="3733482" cy="2727325"/>
                    </a:xfrm>
                    <a:prstGeom prst="rect">
                      <a:avLst/>
                    </a:prstGeom>
                  </pic:spPr>
                </pic:pic>
              </a:graphicData>
            </a:graphic>
          </wp:anchor>
        </w:drawing>
      </w:r>
      <w:r>
        <w:rPr>
          <w:rFonts w:ascii="Microsoft YaHei" w:hAnsi="Microsoft YaHei" w:eastAsia="Microsoft YaHei" w:cs="Microsoft YaHei"/>
          <w:sz w:val="24"/>
          <w:szCs w:val="24"/>
          <w:spacing w:val="3"/>
        </w:rPr>
        <w:t>2024年8月26日-9月1日， 上交所公司监管</w:t>
      </w:r>
      <w:r>
        <w:rPr>
          <w:rFonts w:ascii="Microsoft YaHei" w:hAnsi="Microsoft YaHei" w:eastAsia="Microsoft YaHei" w:cs="Microsoft YaHei"/>
          <w:sz w:val="24"/>
          <w:szCs w:val="24"/>
        </w:rPr>
        <w:t xml:space="preserve"> </w:t>
      </w:r>
      <w:r>
        <w:rPr>
          <w:rFonts w:ascii="Microsoft YaHei" w:hAnsi="Microsoft YaHei" w:eastAsia="Microsoft YaHei" w:cs="Microsoft YaHei"/>
          <w:sz w:val="24"/>
          <w:szCs w:val="24"/>
          <w:spacing w:val="3"/>
        </w:rPr>
        <w:t>部门作出8份监管警示函， 对4宗行为予以纪律处</w:t>
      </w:r>
      <w:r>
        <w:rPr>
          <w:rFonts w:ascii="Microsoft YaHei" w:hAnsi="Microsoft YaHei" w:eastAsia="Microsoft YaHei" w:cs="Microsoft YaHei"/>
          <w:sz w:val="24"/>
          <w:szCs w:val="24"/>
          <w:spacing w:val="12"/>
        </w:rPr>
        <w:t xml:space="preserve"> </w:t>
      </w:r>
      <w:r>
        <w:rPr>
          <w:rFonts w:ascii="Microsoft YaHei" w:hAnsi="Microsoft YaHei" w:eastAsia="Microsoft YaHei" w:cs="Microsoft YaHei"/>
          <w:sz w:val="24"/>
          <w:szCs w:val="24"/>
          <w:spacing w:val="13"/>
        </w:rPr>
        <w:t>分</w:t>
      </w:r>
      <w:r>
        <w:rPr>
          <w:rFonts w:ascii="Microsoft YaHei" w:hAnsi="Microsoft YaHei" w:eastAsia="Microsoft YaHei" w:cs="Microsoft YaHei"/>
          <w:sz w:val="24"/>
          <w:szCs w:val="24"/>
          <w:spacing w:val="-23"/>
        </w:rPr>
        <w:t xml:space="preserve"> </w:t>
      </w:r>
      <w:r>
        <w:rPr>
          <w:rFonts w:ascii="Microsoft YaHei" w:hAnsi="Microsoft YaHei" w:eastAsia="Microsoft YaHei" w:cs="Microsoft YaHei"/>
          <w:sz w:val="24"/>
          <w:szCs w:val="24"/>
          <w:spacing w:val="13"/>
        </w:rPr>
        <w:t>。</w:t>
      </w:r>
      <w:r>
        <w:rPr>
          <w:rFonts w:ascii="Microsoft YaHei" w:hAnsi="Microsoft YaHei" w:eastAsia="Microsoft YaHei" w:cs="Microsoft YaHei"/>
          <w:sz w:val="24"/>
          <w:szCs w:val="24"/>
          <w:spacing w:val="-30"/>
        </w:rPr>
        <w:t xml:space="preserve"> </w:t>
      </w:r>
      <w:r>
        <w:rPr>
          <w:rFonts w:ascii="Microsoft YaHei" w:hAnsi="Microsoft YaHei" w:eastAsia="Microsoft YaHei" w:cs="Microsoft YaHei"/>
          <w:sz w:val="24"/>
          <w:szCs w:val="24"/>
          <w:spacing w:val="13"/>
        </w:rPr>
        <w:t>同时， 加大信息披露和股价异常的联动监</w:t>
      </w:r>
      <w:r>
        <w:rPr>
          <w:rFonts w:ascii="Microsoft YaHei" w:hAnsi="Microsoft YaHei" w:eastAsia="Microsoft YaHei" w:cs="Microsoft YaHei"/>
          <w:sz w:val="24"/>
          <w:szCs w:val="24"/>
        </w:rPr>
        <w:t xml:space="preserve"> </w:t>
      </w:r>
      <w:r>
        <w:rPr>
          <w:rFonts w:ascii="Microsoft YaHei" w:hAnsi="Microsoft YaHei" w:eastAsia="Microsoft YaHei" w:cs="Microsoft YaHei"/>
          <w:sz w:val="24"/>
          <w:szCs w:val="24"/>
          <w:spacing w:val="5"/>
        </w:rPr>
        <w:t>管， 针对公司披露敏感信息或股价发生明显异常</w:t>
      </w:r>
      <w:r>
        <w:rPr>
          <w:rFonts w:ascii="Microsoft YaHei" w:hAnsi="Microsoft YaHei" w:eastAsia="Microsoft YaHei" w:cs="Microsoft YaHei"/>
          <w:sz w:val="24"/>
          <w:szCs w:val="24"/>
          <w:spacing w:val="12"/>
        </w:rPr>
        <w:t xml:space="preserve"> </w:t>
      </w:r>
      <w:r>
        <w:rPr>
          <w:rFonts w:ascii="Microsoft YaHei" w:hAnsi="Microsoft YaHei" w:eastAsia="Microsoft YaHei" w:cs="Microsoft YaHei"/>
          <w:sz w:val="24"/>
          <w:szCs w:val="24"/>
          <w:spacing w:val="-4"/>
        </w:rPr>
        <w:t>的， 提请启动内幕交易、异常交易核查10单。</w:t>
      </w:r>
    </w:p>
    <w:p>
      <w:pPr>
        <w:ind w:left="6015" w:right="592" w:firstLine="490"/>
        <w:spacing w:before="3" w:line="249" w:lineRule="auto"/>
        <w:rPr>
          <w:rFonts w:ascii="Microsoft YaHei" w:hAnsi="Microsoft YaHei" w:eastAsia="Microsoft YaHei" w:cs="Microsoft YaHei"/>
          <w:sz w:val="24"/>
          <w:szCs w:val="24"/>
        </w:rPr>
      </w:pPr>
      <w:r>
        <w:rPr>
          <w:rFonts w:ascii="Microsoft YaHei" w:hAnsi="Microsoft YaHei" w:eastAsia="Microsoft YaHei" w:cs="Microsoft YaHei"/>
          <w:sz w:val="24"/>
          <w:szCs w:val="24"/>
          <w:spacing w:val="1"/>
        </w:rPr>
        <w:t>2024年8月26日-9月1日， 深交所发出3份监</w:t>
      </w:r>
      <w:r>
        <w:rPr>
          <w:rFonts w:ascii="Microsoft YaHei" w:hAnsi="Microsoft YaHei" w:eastAsia="Microsoft YaHei" w:cs="Microsoft YaHei"/>
          <w:sz w:val="24"/>
          <w:szCs w:val="24"/>
          <w:spacing w:val="14"/>
        </w:rPr>
        <w:t xml:space="preserve"> </w:t>
      </w:r>
      <w:r>
        <w:rPr>
          <w:rFonts w:ascii="Microsoft YaHei" w:hAnsi="Microsoft YaHei" w:eastAsia="Microsoft YaHei" w:cs="Microsoft YaHei"/>
          <w:sz w:val="24"/>
          <w:szCs w:val="24"/>
          <w:spacing w:val="-1"/>
        </w:rPr>
        <w:t>管函,1份纪律处分措施。</w:t>
      </w:r>
    </w:p>
    <w:p>
      <w:pPr>
        <w:spacing w:line="249" w:lineRule="auto"/>
        <w:sectPr>
          <w:type w:val="continuous"/>
          <w:pgSz w:w="11910" w:h="16840"/>
          <w:pgMar w:top="9" w:right="69" w:bottom="0" w:left="0" w:header="0" w:footer="0" w:gutter="0"/>
          <w:cols w:equalWidth="0" w:num="1">
            <w:col w:w="11841" w:space="0"/>
          </w:cols>
        </w:sectPr>
        <w:rPr>
          <w:rFonts w:ascii="Microsoft YaHei" w:hAnsi="Microsoft YaHei" w:eastAsia="Microsoft YaHei" w:cs="Microsoft YaHei"/>
          <w:sz w:val="24"/>
          <w:szCs w:val="24"/>
        </w:rPr>
      </w:pPr>
    </w:p>
    <w:p>
      <w:pPr>
        <w:ind w:firstLine="14"/>
        <w:spacing w:line="1137" w:lineRule="exact"/>
        <w:rPr/>
      </w:pPr>
      <w:r>
        <w:rPr>
          <w:position w:val="-22"/>
        </w:rPr>
        <w:pict>
          <v:group id="_x0000_s14" style="mso-position-vertical-relative:line;mso-position-horizontal-relative:char;width:67.85pt;height:56.9pt;" filled="false" stroked="false" coordsize="1356,1138" coordorigin="0,0">
            <v:shape id="_x0000_s16" style="position:absolute;left:0;top:0;width:1356;height:1138;" fillcolor="#A61C1F" filled="true" stroked="false" coordsize="1356,1138" coordorigin="0,0" path="m,l1356,0l1356,1137l0,1137l0,0xe"/>
            <v:shape id="_x0000_s18" style="position:absolute;left:237;top:112;width:819;height:913;" fillcolor="#FFFFFF" filled="true" stroked="false" coordsize="819,913" coordorigin="0,0" path="m594,777l223,777l213,771l213,731l223,725l594,725l604,731l604,771l594,777xm582,708l237,708l225,699l225,688l213,635l180,584l136,533l88,480l45,424l12,362l0,298l0,291l5,238l22,188l50,144l84,106l127,73l176,47l230,26l287,11l347,3l409,0l470,3l530,11l587,26l641,47l690,73l733,106l736,109l366,109l358,117l358,125l354,149l353,152l233,152l202,176l190,186l177,195l172,200l172,209l177,215l207,243l210,245l210,249l202,259l196,269l190,280l185,291l185,292l183,292l182,294l170,294l124,298l116,303l116,371l124,375l136,377l182,382l183,382l185,383l185,385l190,395l196,406l202,416l210,426l210,429l200,438l192,445l177,460l172,466l172,474l177,480l225,517l233,522l353,522l356,539l358,549l358,559l366,565l648,565l637,578l604,630l592,688l592,699l582,708xm526,183l523,182l497,172l483,168l469,165l467,165l467,163l466,160l466,149l462,137l462,125l459,117l452,109l736,109l768,144l773,152l587,152l574,154l567,158l530,182l528,182l526,183xm293,183l292,182l290,182l280,176l270,170l262,164l252,158l243,154l233,152l353,152l352,160l352,163l350,165l348,165l334,168l322,172l307,177l294,182l293,183xm686,522l587,522l648,474l646,466l640,460l626,445l617,438l608,429l608,428l610,426l617,416l622,406l627,395l632,385l632,383l634,382l638,382l683,377l693,375l703,371l703,303l693,298l683,297l648,294l638,294l634,292l632,292l632,291l627,280l622,269l617,259l610,249l608,248l608,245l610,243l640,215l646,209l648,200l640,195l628,186l617,176l592,158l587,152l773,152l796,188l813,238l818,291l818,298l806,362l773,422l730,476l686,522xm410,448l354,439l308,415l278,380l267,337l278,295l308,260l354,236l410,228l464,236l509,260l539,295l550,337l539,380l509,415l464,439l410,448xm353,522l243,522l252,515l262,511l270,505l280,500l290,494l292,492l294,492l307,498l322,503l334,506l348,509l352,512l352,515l353,522xm648,565l452,565l459,559l462,549l462,539l466,526l466,514l467,512l467,511l469,509l497,503l510,498l523,492l528,492l530,494l539,500l548,505l557,511l567,515l574,522l686,522l681,527l648,565xm560,912l257,912l247,906l247,865l257,859l560,859l570,865l570,906l560,912xm582,845l235,845l227,839l227,797l235,791l582,791l592,797l592,839l582,845e"/>
          </v:group>
        </w:pict>
      </w:r>
    </w:p>
    <w:p>
      <w:pPr>
        <w:pStyle w:val="BodyText"/>
        <w:spacing w:line="14" w:lineRule="auto"/>
        <w:rPr>
          <w:sz w:val="2"/>
        </w:rPr>
      </w:pPr>
      <w:r>
        <w:rPr>
          <w:sz w:val="2"/>
          <w:szCs w:val="2"/>
        </w:rPr>
        <w:br w:type="column"/>
      </w:r>
    </w:p>
    <w:p>
      <w:pPr>
        <w:spacing w:before="302" w:line="186" w:lineRule="auto"/>
        <w:rPr>
          <w:rFonts w:ascii="Microsoft YaHei" w:hAnsi="Microsoft YaHei" w:eastAsia="Microsoft YaHei" w:cs="Microsoft YaHei"/>
          <w:sz w:val="43"/>
          <w:szCs w:val="43"/>
        </w:rPr>
      </w:pPr>
      <w:r>
        <w:rPr>
          <w:rFonts w:ascii="Microsoft YaHei" w:hAnsi="Microsoft YaHei" w:eastAsia="Microsoft YaHei" w:cs="Microsoft YaHei"/>
          <w:sz w:val="43"/>
          <w:szCs w:val="43"/>
          <w:spacing w:val="7"/>
        </w:rPr>
        <w:t>监管动态</w:t>
      </w:r>
    </w:p>
    <w:p>
      <w:pPr>
        <w:spacing w:line="186" w:lineRule="auto"/>
        <w:sectPr>
          <w:pgSz w:w="11910" w:h="16840"/>
          <w:pgMar w:top="9" w:right="59" w:bottom="0" w:left="0" w:header="0" w:footer="0" w:gutter="0"/>
          <w:cols w:equalWidth="0" w:num="2">
            <w:col w:w="1568" w:space="100"/>
            <w:col w:w="10184" w:space="0"/>
          </w:cols>
        </w:sectPr>
        <w:rPr>
          <w:rFonts w:ascii="Microsoft YaHei" w:hAnsi="Microsoft YaHei" w:eastAsia="Microsoft YaHei" w:cs="Microsoft YaHei"/>
          <w:sz w:val="43"/>
          <w:szCs w:val="43"/>
        </w:rPr>
      </w:pPr>
    </w:p>
    <w:p>
      <w:pPr>
        <w:pStyle w:val="BodyText"/>
        <w:spacing w:line="417" w:lineRule="auto"/>
        <w:rPr/>
      </w:pPr>
      <w:r>
        <w:drawing>
          <wp:anchor distT="0" distB="0" distL="0" distR="0" simplePos="0" relativeHeight="251662336" behindDoc="0" locked="0" layoutInCell="1" allowOverlap="1">
            <wp:simplePos x="0" y="0"/>
            <wp:positionH relativeFrom="column">
              <wp:posOffset>850265</wp:posOffset>
            </wp:positionH>
            <wp:positionV relativeFrom="paragraph">
              <wp:posOffset>-34658</wp:posOffset>
            </wp:positionV>
            <wp:extent cx="6675119" cy="32245"/>
            <wp:effectExtent l="0" t="0" r="0" b="0"/>
            <wp:wrapNone/>
            <wp:docPr id="18" name="IM 18"/>
            <wp:cNvGraphicFramePr/>
            <a:graphic>
              <a:graphicData uri="http://schemas.openxmlformats.org/drawingml/2006/picture">
                <pic:pic>
                  <pic:nvPicPr>
                    <pic:cNvPr id="18" name="IM 18"/>
                    <pic:cNvPicPr/>
                  </pic:nvPicPr>
                  <pic:blipFill>
                    <a:blip r:embed="rId11"/>
                    <a:stretch>
                      <a:fillRect/>
                    </a:stretch>
                  </pic:blipFill>
                  <pic:spPr>
                    <a:xfrm rot="0">
                      <a:off x="0" y="0"/>
                      <a:ext cx="6675119" cy="32245"/>
                    </a:xfrm>
                    <a:prstGeom prst="rect">
                      <a:avLst/>
                    </a:prstGeom>
                  </pic:spPr>
                </pic:pic>
              </a:graphicData>
            </a:graphic>
          </wp:anchor>
        </w:drawing>
      </w:r>
      <w:r/>
    </w:p>
    <w:p>
      <w:pPr>
        <w:spacing w:line="924" w:lineRule="exact"/>
        <w:rPr/>
      </w:pPr>
      <w:r>
        <w:rPr>
          <w:position w:val="-18"/>
        </w:rPr>
        <w:pict>
          <v:group id="_x0000_s20" style="mso-position-vertical-relative:line;mso-position-horizontal-relative:char;width:188.3pt;height:46.25pt;" filled="false" stroked="false" coordsize="3766,925" coordorigin="0,0">
            <v:shape id="_x0000_s22" style="position:absolute;left:0;top:0;width:3766;height:925;" filled="false" stroked="false" type="#_x0000_t75">
              <v:imagedata o:title="" r:id="rId12"/>
            </v:shape>
            <v:shape id="_x0000_s24" style="position:absolute;left:-20;top:-20;width:3806;height:965;" filled="false" stroked="false" type="#_x0000_t202">
              <v:fill on="false"/>
              <v:stroke on="false"/>
              <v:path/>
              <v:imagedata o:title=""/>
              <o:lock v:ext="edit" aspectratio="false"/>
              <v:textbox inset="0mm,0mm,0mm,0mm">
                <w:txbxContent>
                  <w:p>
                    <w:pPr>
                      <w:ind w:left="387"/>
                      <w:spacing w:before="299" w:line="183" w:lineRule="auto"/>
                      <w:rPr>
                        <w:rFonts w:ascii="Microsoft YaHei" w:hAnsi="Microsoft YaHei" w:eastAsia="Microsoft YaHei" w:cs="Microsoft YaHei"/>
                        <w:sz w:val="28"/>
                        <w:szCs w:val="28"/>
                      </w:rPr>
                    </w:pPr>
                    <w:r>
                      <w:rPr>
                        <w:rFonts w:ascii="Microsoft YaHei" w:hAnsi="Microsoft YaHei" w:eastAsia="Microsoft YaHei" w:cs="Microsoft YaHei"/>
                        <w:sz w:val="28"/>
                        <w:szCs w:val="28"/>
                        <w:b/>
                        <w:bCs/>
                        <w:color w:val="FFFFFF"/>
                        <w:spacing w:val="-1"/>
                      </w:rPr>
                      <w:t>证监会证监局监管动态</w:t>
                    </w:r>
                  </w:p>
                </w:txbxContent>
              </v:textbox>
            </v:shape>
          </v:group>
        </w:pict>
      </w:r>
    </w:p>
    <w:p>
      <w:pPr>
        <w:pStyle w:val="BodyText"/>
        <w:spacing w:line="393" w:lineRule="auto"/>
        <w:rPr/>
      </w:pPr>
      <w:r/>
    </w:p>
    <w:p>
      <w:pPr>
        <w:ind w:left="455" w:right="580" w:firstLine="477"/>
        <w:spacing w:before="103" w:line="360" w:lineRule="auto"/>
        <w:rPr>
          <w:rFonts w:ascii="Microsoft YaHei" w:hAnsi="Microsoft YaHei" w:eastAsia="Microsoft YaHei" w:cs="Microsoft YaHei"/>
          <w:sz w:val="24"/>
          <w:szCs w:val="24"/>
        </w:rPr>
      </w:pPr>
      <w:r>
        <w:rPr>
          <w:rFonts w:ascii="Microsoft YaHei" w:hAnsi="Microsoft YaHei" w:eastAsia="Microsoft YaHei" w:cs="Microsoft YaHei"/>
          <w:sz w:val="24"/>
          <w:szCs w:val="24"/>
          <w:spacing w:val="-3"/>
        </w:rPr>
        <w:t>2024年8月26日-9月1日， 证监会作出1份行政处罚事先告知书， </w:t>
      </w:r>
      <w:r>
        <w:rPr>
          <w:rFonts w:ascii="Microsoft YaHei" w:hAnsi="Microsoft YaHei" w:eastAsia="Microsoft YaHei" w:cs="Microsoft YaHei"/>
          <w:sz w:val="24"/>
          <w:szCs w:val="24"/>
          <w:spacing w:val="-4"/>
        </w:rPr>
        <w:t>对2个对象立案调查； 证监局作出</w:t>
      </w:r>
      <w:r>
        <w:rPr>
          <w:rFonts w:ascii="Microsoft YaHei" w:hAnsi="Microsoft YaHei" w:eastAsia="Microsoft YaHei" w:cs="Microsoft YaHei"/>
          <w:sz w:val="24"/>
          <w:szCs w:val="24"/>
        </w:rPr>
        <w:t xml:space="preserve"> </w:t>
      </w:r>
      <w:r>
        <w:rPr>
          <w:rFonts w:ascii="Microsoft YaHei" w:hAnsi="Microsoft YaHei" w:eastAsia="Microsoft YaHei" w:cs="Microsoft YaHei"/>
          <w:sz w:val="24"/>
          <w:szCs w:val="24"/>
          <w:spacing w:val="-4"/>
        </w:rPr>
        <w:t>3份行政处罚决定书， 30份行政监管措施决定书。</w:t>
      </w:r>
    </w:p>
    <w:p>
      <w:pPr>
        <w:ind w:left="757"/>
        <w:spacing w:before="26" w:line="225" w:lineRule="auto"/>
        <w:outlineLvl w:val="1"/>
        <w:rPr>
          <w:rFonts w:ascii="Microsoft YaHei" w:hAnsi="Microsoft YaHei" w:eastAsia="Microsoft YaHei" w:cs="Microsoft YaHei"/>
          <w:sz w:val="24"/>
          <w:szCs w:val="24"/>
        </w:rPr>
      </w:pPr>
      <w:r>
        <w:rPr>
          <w:rFonts w:ascii="Microsoft YaHei" w:hAnsi="Microsoft YaHei" w:eastAsia="Microsoft YaHei" w:cs="Microsoft YaHei"/>
          <w:sz w:val="24"/>
          <w:szCs w:val="24"/>
          <w:b/>
          <w:bCs/>
          <w:spacing w:val="-10"/>
        </w:rPr>
        <w:t>（1） 行政处罚决定书</w:t>
      </w:r>
    </w:p>
    <w:p>
      <w:pPr>
        <w:spacing w:line="185" w:lineRule="exact"/>
        <w:rPr/>
      </w:pPr>
      <w:r/>
    </w:p>
    <w:tbl>
      <w:tblPr>
        <w:tblStyle w:val="TableNormal"/>
        <w:tblW w:w="9384" w:type="dxa"/>
        <w:tblInd w:w="1162" w:type="dxa"/>
        <w:tblLayout w:type="fixed"/>
        <w:tblBorders>
          <w:top w:val="single" w:color="4F81BD" w:sz="6" w:space="0"/>
          <w:left w:val="single" w:color="4F81BD" w:sz="6" w:space="0"/>
          <w:bottom w:val="single" w:color="4F81BD" w:sz="6" w:space="0"/>
          <w:right w:val="single" w:color="4F81BD" w:sz="6" w:space="0"/>
          <w:insideH w:val="single" w:color="4F81BD" w:sz="6" w:space="0"/>
          <w:insideV w:val="single" w:color="4F81BD" w:sz="6" w:space="0"/>
        </w:tblBorders>
      </w:tblPr>
      <w:tblGrid>
        <w:gridCol w:w="1474"/>
        <w:gridCol w:w="1343"/>
        <w:gridCol w:w="6567"/>
      </w:tblGrid>
      <w:tr>
        <w:trPr>
          <w:trHeight w:val="387" w:hRule="atLeast"/>
        </w:trPr>
        <w:tc>
          <w:tcPr>
            <w:shd w:val="clear" w:fill="4F81BD"/>
            <w:tcW w:w="1474" w:type="dxa"/>
            <w:vAlign w:val="top"/>
            <w:tcBorders>
              <w:bottom w:val="single" w:color="FFFFFF" w:sz="2" w:space="0"/>
            </w:tcBorders>
          </w:tcPr>
          <w:p>
            <w:pPr>
              <w:pStyle w:val="TableText"/>
              <w:ind w:left="312"/>
              <w:spacing w:before="109" w:line="187" w:lineRule="auto"/>
              <w:rPr/>
            </w:pPr>
            <w:r>
              <w:rPr>
                <w:b/>
                <w:bCs/>
                <w:color w:val="FFFFFF"/>
                <w:spacing w:val="8"/>
              </w:rPr>
              <w:t>公司代码</w:t>
            </w:r>
          </w:p>
        </w:tc>
        <w:tc>
          <w:tcPr>
            <w:shd w:val="clear" w:fill="4F81BD"/>
            <w:tcW w:w="1343" w:type="dxa"/>
            <w:vAlign w:val="top"/>
            <w:tcBorders>
              <w:bottom w:val="single" w:color="FFFFFF" w:sz="2" w:space="0"/>
            </w:tcBorders>
          </w:tcPr>
          <w:p>
            <w:pPr>
              <w:pStyle w:val="TableText"/>
              <w:ind w:left="244"/>
              <w:spacing w:before="109" w:line="187" w:lineRule="auto"/>
              <w:rPr/>
            </w:pPr>
            <w:r>
              <w:rPr>
                <w:b/>
                <w:bCs/>
                <w:color w:val="FFFFFF"/>
                <w:spacing w:val="8"/>
              </w:rPr>
              <w:t>公司简称</w:t>
            </w:r>
          </w:p>
        </w:tc>
        <w:tc>
          <w:tcPr>
            <w:shd w:val="clear" w:fill="4F81BD"/>
            <w:tcW w:w="6567" w:type="dxa"/>
            <w:vAlign w:val="top"/>
            <w:tcBorders>
              <w:bottom w:val="single" w:color="FFFFFF" w:sz="2" w:space="0"/>
            </w:tcBorders>
          </w:tcPr>
          <w:p>
            <w:pPr>
              <w:pStyle w:val="TableText"/>
              <w:ind w:left="2855"/>
              <w:spacing w:before="109" w:line="187" w:lineRule="auto"/>
              <w:rPr/>
            </w:pPr>
            <w:r>
              <w:rPr>
                <w:b/>
                <w:bCs/>
                <w:color w:val="FFFFFF"/>
                <w:spacing w:val="8"/>
              </w:rPr>
              <w:t>违规行为</w:t>
            </w:r>
          </w:p>
        </w:tc>
      </w:tr>
      <w:tr>
        <w:trPr>
          <w:trHeight w:val="369" w:hRule="atLeast"/>
        </w:trPr>
        <w:tc>
          <w:tcPr>
            <w:shd w:val="clear" w:fill="B8CCE4"/>
            <w:tcW w:w="1474" w:type="dxa"/>
            <w:vAlign w:val="top"/>
            <w:tcBorders>
              <w:top w:val="single" w:color="FFFFFF" w:sz="2" w:space="0"/>
            </w:tcBorders>
          </w:tcPr>
          <w:p>
            <w:pPr>
              <w:pStyle w:val="TableText"/>
              <w:ind w:left="367"/>
              <w:spacing w:before="102" w:line="178" w:lineRule="auto"/>
              <w:rPr/>
            </w:pPr>
            <w:r>
              <w:rPr>
                <w:spacing w:val="3"/>
              </w:rPr>
              <w:t>000938</w:t>
            </w:r>
          </w:p>
        </w:tc>
        <w:tc>
          <w:tcPr>
            <w:shd w:val="clear" w:fill="B8CCE4"/>
            <w:tcW w:w="1343" w:type="dxa"/>
            <w:vAlign w:val="top"/>
            <w:tcBorders>
              <w:top w:val="single" w:color="FFFFFF" w:sz="2" w:space="0"/>
            </w:tcBorders>
          </w:tcPr>
          <w:p>
            <w:pPr>
              <w:pStyle w:val="TableText"/>
              <w:ind w:left="245"/>
              <w:spacing w:before="88" w:line="188" w:lineRule="auto"/>
              <w:rPr/>
            </w:pPr>
            <w:r>
              <w:rPr>
                <w:spacing w:val="8"/>
              </w:rPr>
              <w:t>紫光股份</w:t>
            </w:r>
          </w:p>
        </w:tc>
        <w:tc>
          <w:tcPr>
            <w:shd w:val="clear" w:fill="B8CCE4"/>
            <w:tcW w:w="6567" w:type="dxa"/>
            <w:vAlign w:val="top"/>
            <w:tcBorders>
              <w:top w:val="single" w:color="FFFFFF" w:sz="2" w:space="0"/>
            </w:tcBorders>
          </w:tcPr>
          <w:p>
            <w:pPr>
              <w:pStyle w:val="TableText"/>
              <w:ind w:left="113"/>
              <w:spacing w:before="87" w:line="189" w:lineRule="auto"/>
              <w:rPr/>
            </w:pPr>
            <w:r>
              <w:rPr>
                <w:b/>
                <w:bCs/>
                <w:spacing w:val="6"/>
              </w:rPr>
              <w:t>内幕交易</w:t>
            </w:r>
            <w:r>
              <w:rPr>
                <w:spacing w:val="6"/>
              </w:rPr>
              <w:t>公司股票。</w:t>
            </w:r>
          </w:p>
        </w:tc>
      </w:tr>
      <w:tr>
        <w:trPr>
          <w:trHeight w:val="724" w:hRule="atLeast"/>
        </w:trPr>
        <w:tc>
          <w:tcPr>
            <w:tcW w:w="9384" w:type="dxa"/>
            <w:vAlign w:val="top"/>
            <w:gridSpan w:val="3"/>
          </w:tcPr>
          <w:p>
            <w:pPr>
              <w:pStyle w:val="TableText"/>
              <w:ind w:left="103" w:right="104" w:firstLine="18"/>
              <w:spacing w:before="39" w:line="236" w:lineRule="auto"/>
              <w:rPr/>
            </w:pPr>
            <w:r>
              <w:rPr>
                <w:b/>
                <w:bCs/>
                <w:spacing w:val="10"/>
              </w:rPr>
              <w:t>【行政处罚决定】</w:t>
            </w:r>
            <w:r>
              <w:rPr>
                <w:b/>
                <w:bCs/>
                <w:spacing w:val="-17"/>
              </w:rPr>
              <w:t xml:space="preserve"> </w:t>
            </w:r>
            <w:r>
              <w:rPr>
                <w:spacing w:val="10"/>
              </w:rPr>
              <w:t>中国证券监督管理委员会天津监管局决定： 对方某责令依法处理非法持有的“紫</w:t>
            </w:r>
            <w:r>
              <w:rPr/>
              <w:t xml:space="preserve"> </w:t>
            </w:r>
            <w:r>
              <w:rPr>
                <w:spacing w:val="4"/>
              </w:rPr>
              <w:t>光股份”， 没收违法所得973,300.57元， 并处以2,919,901.71元的罚款。</w:t>
            </w:r>
          </w:p>
        </w:tc>
      </w:tr>
      <w:tr>
        <w:trPr>
          <w:trHeight w:val="364" w:hRule="atLeast"/>
        </w:trPr>
        <w:tc>
          <w:tcPr>
            <w:shd w:val="clear" w:fill="B8CCE4"/>
            <w:tcW w:w="1474" w:type="dxa"/>
            <w:vAlign w:val="top"/>
          </w:tcPr>
          <w:p>
            <w:pPr>
              <w:pStyle w:val="TableText"/>
              <w:ind w:left="367"/>
              <w:spacing w:before="99" w:line="178" w:lineRule="auto"/>
              <w:rPr/>
            </w:pPr>
            <w:r>
              <w:rPr>
                <w:spacing w:val="3"/>
              </w:rPr>
              <w:t>000697</w:t>
            </w:r>
          </w:p>
        </w:tc>
        <w:tc>
          <w:tcPr>
            <w:shd w:val="clear" w:fill="B8CCE4"/>
            <w:tcW w:w="1343" w:type="dxa"/>
            <w:vAlign w:val="top"/>
          </w:tcPr>
          <w:p>
            <w:pPr>
              <w:pStyle w:val="TableText"/>
              <w:ind w:left="242"/>
              <w:spacing w:before="83" w:line="189" w:lineRule="auto"/>
              <w:rPr/>
            </w:pPr>
            <w:r>
              <w:rPr>
                <w:spacing w:val="8"/>
              </w:rPr>
              <w:t>炼石航空</w:t>
            </w:r>
          </w:p>
        </w:tc>
        <w:tc>
          <w:tcPr>
            <w:shd w:val="clear" w:fill="B8CCE4"/>
            <w:tcW w:w="6567" w:type="dxa"/>
            <w:vAlign w:val="top"/>
          </w:tcPr>
          <w:p>
            <w:pPr>
              <w:pStyle w:val="TableText"/>
              <w:ind w:left="113"/>
              <w:spacing w:before="85" w:line="188" w:lineRule="auto"/>
              <w:rPr/>
            </w:pPr>
            <w:r>
              <w:rPr>
                <w:b/>
                <w:bCs/>
                <w:spacing w:val="6"/>
              </w:rPr>
              <w:t>内幕交易</w:t>
            </w:r>
            <w:r>
              <w:rPr>
                <w:spacing w:val="6"/>
              </w:rPr>
              <w:t>公司股票。</w:t>
            </w:r>
          </w:p>
        </w:tc>
      </w:tr>
      <w:tr>
        <w:trPr>
          <w:trHeight w:val="724" w:hRule="atLeast"/>
        </w:trPr>
        <w:tc>
          <w:tcPr>
            <w:tcW w:w="9384" w:type="dxa"/>
            <w:vAlign w:val="top"/>
            <w:gridSpan w:val="3"/>
          </w:tcPr>
          <w:p>
            <w:pPr>
              <w:pStyle w:val="TableText"/>
              <w:ind w:left="104" w:right="106" w:firstLine="16"/>
              <w:spacing w:before="44" w:line="234" w:lineRule="auto"/>
              <w:rPr/>
            </w:pPr>
            <w:r>
              <w:rPr>
                <w:b/>
                <w:bCs/>
                <w:spacing w:val="13"/>
              </w:rPr>
              <w:t>【行政处罚决定】</w:t>
            </w:r>
            <w:r>
              <w:rPr>
                <w:b/>
                <w:bCs/>
                <w:spacing w:val="-5"/>
              </w:rPr>
              <w:t xml:space="preserve"> </w:t>
            </w:r>
            <w:r>
              <w:rPr>
                <w:spacing w:val="13"/>
              </w:rPr>
              <w:t>中国证券监督管理委员会四川监管局决定:对谢某毅没收违法所得1,287,328.67</w:t>
            </w:r>
            <w:r>
              <w:rPr/>
              <w:t xml:space="preserve"> </w:t>
            </w:r>
            <w:r>
              <w:rPr>
                <w:spacing w:val="3"/>
              </w:rPr>
              <w:t>元， 并处以3,861,986.01元罚款。</w:t>
            </w:r>
          </w:p>
        </w:tc>
      </w:tr>
      <w:tr>
        <w:trPr>
          <w:trHeight w:val="723" w:hRule="atLeast"/>
        </w:trPr>
        <w:tc>
          <w:tcPr>
            <w:shd w:val="clear" w:fill="B8CCE4"/>
            <w:tcW w:w="1474" w:type="dxa"/>
            <w:vAlign w:val="top"/>
          </w:tcPr>
          <w:p>
            <w:pPr>
              <w:pStyle w:val="TableText"/>
              <w:ind w:left="367"/>
              <w:spacing w:before="278" w:line="179" w:lineRule="auto"/>
              <w:rPr/>
            </w:pPr>
            <w:r>
              <w:rPr>
                <w:spacing w:val="3"/>
              </w:rPr>
              <w:t>000010</w:t>
            </w:r>
          </w:p>
        </w:tc>
        <w:tc>
          <w:tcPr>
            <w:shd w:val="clear" w:fill="B8CCE4"/>
            <w:tcW w:w="1343" w:type="dxa"/>
            <w:vAlign w:val="top"/>
          </w:tcPr>
          <w:p>
            <w:pPr>
              <w:pStyle w:val="TableText"/>
              <w:ind w:left="243"/>
              <w:spacing w:before="264" w:line="190" w:lineRule="auto"/>
              <w:rPr/>
            </w:pPr>
            <w:r>
              <w:rPr>
                <w:spacing w:val="8"/>
              </w:rPr>
              <w:t>美丽生态</w:t>
            </w:r>
          </w:p>
        </w:tc>
        <w:tc>
          <w:tcPr>
            <w:shd w:val="clear" w:fill="B8CCE4"/>
            <w:tcW w:w="6567" w:type="dxa"/>
            <w:vAlign w:val="top"/>
          </w:tcPr>
          <w:p>
            <w:pPr>
              <w:pStyle w:val="TableText"/>
              <w:ind w:left="98" w:right="365" w:firstLine="1"/>
              <w:spacing w:before="86" w:line="219" w:lineRule="auto"/>
              <w:rPr/>
            </w:pPr>
            <w:r>
              <w:rPr>
                <w:spacing w:val="7"/>
              </w:rPr>
              <w:t>未及时披露控股股东</w:t>
            </w:r>
            <w:r>
              <w:rPr>
                <w:b/>
                <w:bCs/>
                <w:spacing w:val="7"/>
              </w:rPr>
              <w:t>股份被冻结</w:t>
            </w:r>
            <w:r>
              <w:rPr>
                <w:spacing w:val="7"/>
              </w:rPr>
              <w:t>相关事项； 未及时披露</w:t>
            </w:r>
            <w:r>
              <w:rPr>
                <w:b/>
                <w:bCs/>
                <w:spacing w:val="7"/>
              </w:rPr>
              <w:t>债务重组</w:t>
            </w:r>
            <w:r>
              <w:rPr>
                <w:spacing w:val="7"/>
              </w:rPr>
              <w:t>事</w:t>
            </w:r>
            <w:r>
              <w:rPr>
                <w:spacing w:val="16"/>
              </w:rPr>
              <w:t xml:space="preserve"> </w:t>
            </w:r>
            <w:r>
              <w:rPr>
                <w:spacing w:val="3"/>
              </w:rPr>
              <w:t>项。</w:t>
            </w:r>
          </w:p>
        </w:tc>
      </w:tr>
      <w:tr>
        <w:trPr>
          <w:trHeight w:val="2529" w:hRule="atLeast"/>
        </w:trPr>
        <w:tc>
          <w:tcPr>
            <w:tcW w:w="9384" w:type="dxa"/>
            <w:vAlign w:val="top"/>
            <w:gridSpan w:val="3"/>
          </w:tcPr>
          <w:p>
            <w:pPr>
              <w:pStyle w:val="TableText"/>
              <w:ind w:left="121"/>
              <w:spacing w:before="45" w:line="237" w:lineRule="auto"/>
              <w:rPr/>
            </w:pPr>
            <w:r>
              <w:rPr>
                <w:b/>
                <w:bCs/>
                <w:spacing w:val="8"/>
              </w:rPr>
              <w:t>【行政处罚决定】</w:t>
            </w:r>
            <w:r>
              <w:rPr>
                <w:b/>
                <w:bCs/>
                <w:spacing w:val="-31"/>
              </w:rPr>
              <w:t xml:space="preserve"> </w:t>
            </w:r>
            <w:r>
              <w:rPr>
                <w:spacing w:val="8"/>
              </w:rPr>
              <w:t>中国证券监督管理委员会</w:t>
            </w:r>
            <w:r>
              <w:rPr>
                <w:spacing w:val="7"/>
              </w:rPr>
              <w:t>深圳监管局决定：</w:t>
            </w:r>
          </w:p>
          <w:p>
            <w:pPr>
              <w:pStyle w:val="TableText"/>
              <w:ind w:left="123"/>
              <w:spacing w:before="63" w:line="190" w:lineRule="auto"/>
              <w:rPr/>
            </w:pPr>
            <w:r>
              <w:rPr>
                <w:spacing w:val="6"/>
              </w:rPr>
              <w:t>1、对深圳美丽生态股份有限公司给予警告， 并处以150万元罚款；</w:t>
            </w:r>
          </w:p>
          <w:p>
            <w:pPr>
              <w:pStyle w:val="TableText"/>
              <w:ind w:left="113"/>
              <w:spacing w:before="89" w:line="189" w:lineRule="auto"/>
              <w:rPr/>
            </w:pPr>
            <w:r>
              <w:rPr>
                <w:spacing w:val="8"/>
              </w:rPr>
              <w:t>2、对控股股东佳源创盛控股集团有限公司处以150万元罚款；</w:t>
            </w:r>
          </w:p>
          <w:p>
            <w:pPr>
              <w:pStyle w:val="TableText"/>
              <w:ind w:left="116"/>
              <w:spacing w:before="89" w:line="189" w:lineRule="auto"/>
              <w:rPr/>
            </w:pPr>
            <w:r>
              <w:rPr>
                <w:spacing w:val="8"/>
              </w:rPr>
              <w:t>3、对佳源创盛董事沈某兴处以80万元罚款；</w:t>
            </w:r>
          </w:p>
          <w:p>
            <w:pPr>
              <w:pStyle w:val="TableText"/>
              <w:ind w:left="103"/>
              <w:spacing w:before="90" w:line="189" w:lineRule="auto"/>
              <w:rPr/>
            </w:pPr>
            <w:r>
              <w:rPr>
                <w:spacing w:val="6"/>
              </w:rPr>
              <w:t>4、对董事长陈某霖给予警告， 并处以50万元罚款；</w:t>
            </w:r>
          </w:p>
          <w:p>
            <w:pPr>
              <w:pStyle w:val="TableText"/>
              <w:ind w:left="119"/>
              <w:spacing w:before="92" w:line="189" w:lineRule="auto"/>
              <w:rPr/>
            </w:pPr>
            <w:r>
              <w:rPr>
                <w:spacing w:val="5"/>
              </w:rPr>
              <w:t>5、对时任董秘念某敏给予警告， 并处以30万元罚款；</w:t>
            </w:r>
          </w:p>
          <w:p>
            <w:pPr>
              <w:pStyle w:val="TableText"/>
              <w:ind w:left="113"/>
              <w:spacing w:before="90" w:line="187" w:lineRule="auto"/>
              <w:rPr/>
            </w:pPr>
            <w:r>
              <w:rPr>
                <w:spacing w:val="5"/>
              </w:rPr>
              <w:t>6、对总经理周某斌给予警告， 并处以20万元罚款。</w:t>
            </w:r>
          </w:p>
        </w:tc>
      </w:tr>
    </w:tbl>
    <w:p>
      <w:pPr>
        <w:ind w:left="757"/>
        <w:spacing w:before="122" w:line="225" w:lineRule="auto"/>
        <w:outlineLvl w:val="1"/>
        <w:rPr>
          <w:rFonts w:ascii="Microsoft YaHei" w:hAnsi="Microsoft YaHei" w:eastAsia="Microsoft YaHei" w:cs="Microsoft YaHei"/>
          <w:sz w:val="24"/>
          <w:szCs w:val="24"/>
        </w:rPr>
      </w:pPr>
      <w:r>
        <w:rPr>
          <w:rFonts w:ascii="Microsoft YaHei" w:hAnsi="Microsoft YaHei" w:eastAsia="Microsoft YaHei" w:cs="Microsoft YaHei"/>
          <w:sz w:val="24"/>
          <w:szCs w:val="24"/>
          <w:b/>
          <w:bCs/>
          <w:spacing w:val="-9"/>
        </w:rPr>
        <w:t>（2） 行政处罚事先告知书</w:t>
      </w:r>
    </w:p>
    <w:p>
      <w:pPr>
        <w:spacing w:before="47"/>
        <w:rPr/>
      </w:pPr>
      <w:r/>
    </w:p>
    <w:p>
      <w:pPr>
        <w:spacing w:before="47"/>
        <w:rPr/>
      </w:pPr>
      <w:r/>
    </w:p>
    <w:p>
      <w:pPr>
        <w:spacing w:before="47"/>
        <w:rPr/>
      </w:pPr>
      <w:r/>
    </w:p>
    <w:p>
      <w:pPr>
        <w:spacing w:before="47"/>
        <w:rPr/>
      </w:pPr>
      <w:r/>
    </w:p>
    <w:tbl>
      <w:tblPr>
        <w:tblStyle w:val="TableNormal"/>
        <w:tblW w:w="9284" w:type="dxa"/>
        <w:tblInd w:w="1252" w:type="dxa"/>
        <w:tblLayout w:type="fixed"/>
        <w:tblBorders>
          <w:top w:val="single" w:color="4F81BD" w:sz="6" w:space="0"/>
          <w:left w:val="single" w:color="4F81BD" w:sz="6" w:space="0"/>
          <w:bottom w:val="single" w:color="4F81BD" w:sz="6" w:space="0"/>
          <w:right w:val="single" w:color="4F81BD" w:sz="6" w:space="0"/>
          <w:insideH w:val="single" w:color="4F81BD" w:sz="6" w:space="0"/>
          <w:insideV w:val="single" w:color="4F81BD" w:sz="6" w:space="0"/>
        </w:tblBorders>
      </w:tblPr>
      <w:tblGrid>
        <w:gridCol w:w="1451"/>
        <w:gridCol w:w="1343"/>
        <w:gridCol w:w="6490"/>
      </w:tblGrid>
      <w:tr>
        <w:trPr>
          <w:trHeight w:val="386" w:hRule="atLeast"/>
        </w:trPr>
        <w:tc>
          <w:tcPr>
            <w:shd w:val="clear" w:fill="4F81BD"/>
            <w:tcW w:w="1451" w:type="dxa"/>
            <w:vAlign w:val="top"/>
            <w:tcBorders>
              <w:bottom w:val="single" w:color="FFFFFF" w:sz="2" w:space="0"/>
            </w:tcBorders>
          </w:tcPr>
          <w:p>
            <w:pPr>
              <w:pStyle w:val="TableText"/>
              <w:ind w:left="301"/>
              <w:spacing w:before="110" w:line="186" w:lineRule="auto"/>
              <w:rPr/>
            </w:pPr>
            <w:r>
              <w:rPr>
                <w:b/>
                <w:bCs/>
                <w:color w:val="FFFFFF"/>
                <w:spacing w:val="8"/>
              </w:rPr>
              <w:t>公司代码</w:t>
            </w:r>
          </w:p>
        </w:tc>
        <w:tc>
          <w:tcPr>
            <w:shd w:val="clear" w:fill="4F81BD"/>
            <w:tcW w:w="1343" w:type="dxa"/>
            <w:vAlign w:val="top"/>
            <w:tcBorders>
              <w:bottom w:val="single" w:color="FFFFFF" w:sz="2" w:space="0"/>
            </w:tcBorders>
          </w:tcPr>
          <w:p>
            <w:pPr>
              <w:pStyle w:val="TableText"/>
              <w:ind w:left="244"/>
              <w:spacing w:before="110" w:line="186" w:lineRule="auto"/>
              <w:rPr/>
            </w:pPr>
            <w:r>
              <w:rPr>
                <w:b/>
                <w:bCs/>
                <w:color w:val="FFFFFF"/>
                <w:spacing w:val="8"/>
              </w:rPr>
              <w:t>公司简称</w:t>
            </w:r>
          </w:p>
        </w:tc>
        <w:tc>
          <w:tcPr>
            <w:shd w:val="clear" w:fill="4F81BD"/>
            <w:tcW w:w="6490" w:type="dxa"/>
            <w:vAlign w:val="top"/>
            <w:tcBorders>
              <w:bottom w:val="single" w:color="FFFFFF" w:sz="2" w:space="0"/>
            </w:tcBorders>
          </w:tcPr>
          <w:p>
            <w:pPr>
              <w:pStyle w:val="TableText"/>
              <w:ind w:left="2817"/>
              <w:spacing w:before="110" w:line="186" w:lineRule="auto"/>
              <w:rPr/>
            </w:pPr>
            <w:r>
              <w:rPr>
                <w:b/>
                <w:bCs/>
                <w:color w:val="FFFFFF"/>
                <w:spacing w:val="8"/>
              </w:rPr>
              <w:t>违规行为</w:t>
            </w:r>
          </w:p>
        </w:tc>
      </w:tr>
      <w:tr>
        <w:trPr>
          <w:trHeight w:val="727" w:hRule="atLeast"/>
        </w:trPr>
        <w:tc>
          <w:tcPr>
            <w:shd w:val="clear" w:fill="B8CCE4"/>
            <w:tcW w:w="1451" w:type="dxa"/>
            <w:vAlign w:val="top"/>
            <w:tcBorders>
              <w:top w:val="single" w:color="FFFFFF" w:sz="2" w:space="0"/>
            </w:tcBorders>
          </w:tcPr>
          <w:p>
            <w:pPr>
              <w:pStyle w:val="TableText"/>
              <w:ind w:left="359"/>
              <w:spacing w:before="280" w:line="178" w:lineRule="auto"/>
              <w:rPr/>
            </w:pPr>
            <w:r>
              <w:rPr>
                <w:spacing w:val="3"/>
              </w:rPr>
              <w:t>600603</w:t>
            </w:r>
          </w:p>
        </w:tc>
        <w:tc>
          <w:tcPr>
            <w:shd w:val="clear" w:fill="B8CCE4"/>
            <w:tcW w:w="1343" w:type="dxa"/>
            <w:vAlign w:val="top"/>
            <w:tcBorders>
              <w:top w:val="single" w:color="FFFFFF" w:sz="2" w:space="0"/>
            </w:tcBorders>
          </w:tcPr>
          <w:p>
            <w:pPr>
              <w:pStyle w:val="TableText"/>
              <w:ind w:left="242"/>
              <w:spacing w:before="263" w:line="191" w:lineRule="auto"/>
              <w:rPr/>
            </w:pPr>
            <w:r>
              <w:rPr>
                <w:spacing w:val="8"/>
              </w:rPr>
              <w:t>广汇物流</w:t>
            </w:r>
          </w:p>
        </w:tc>
        <w:tc>
          <w:tcPr>
            <w:shd w:val="clear" w:fill="B8CCE4"/>
            <w:tcW w:w="6490" w:type="dxa"/>
            <w:vAlign w:val="top"/>
            <w:tcBorders>
              <w:top w:val="single" w:color="FFFFFF" w:sz="2" w:space="0"/>
            </w:tcBorders>
          </w:tcPr>
          <w:p>
            <w:pPr>
              <w:pStyle w:val="TableText"/>
              <w:ind w:left="100" w:right="103" w:hanging="1"/>
              <w:spacing w:before="85" w:line="221" w:lineRule="auto"/>
              <w:rPr/>
            </w:pPr>
            <w:r>
              <w:rPr>
                <w:spacing w:val="9"/>
              </w:rPr>
              <w:t>广汇物流披露的 2022 年年度报告、</w:t>
            </w:r>
            <w:r>
              <w:rPr>
                <w:spacing w:val="-20"/>
              </w:rPr>
              <w:t xml:space="preserve"> </w:t>
            </w:r>
            <w:r>
              <w:rPr>
                <w:spacing w:val="9"/>
              </w:rPr>
              <w:t>2023 年半年度报告存在</w:t>
            </w:r>
            <w:r>
              <w:rPr>
                <w:b/>
                <w:bCs/>
                <w:spacing w:val="9"/>
              </w:rPr>
              <w:t>虚假记</w:t>
            </w:r>
            <w:r>
              <w:rPr>
                <w:b/>
                <w:bCs/>
              </w:rPr>
              <w:t xml:space="preserve"> </w:t>
            </w:r>
            <w:r>
              <w:rPr>
                <w:b/>
                <w:bCs/>
                <w:spacing w:val="2"/>
              </w:rPr>
              <w:t>载。</w:t>
            </w:r>
          </w:p>
        </w:tc>
      </w:tr>
      <w:tr>
        <w:trPr>
          <w:trHeight w:val="2902" w:hRule="atLeast"/>
        </w:trPr>
        <w:tc>
          <w:tcPr>
            <w:tcW w:w="9284" w:type="dxa"/>
            <w:vAlign w:val="top"/>
            <w:gridSpan w:val="3"/>
          </w:tcPr>
          <w:p>
            <w:pPr>
              <w:pStyle w:val="TableText"/>
              <w:ind w:left="122"/>
              <w:spacing w:before="42" w:line="233" w:lineRule="auto"/>
              <w:rPr/>
            </w:pPr>
            <w:r>
              <w:rPr>
                <w:b/>
                <w:bCs/>
                <w:spacing w:val="1"/>
              </w:rPr>
              <w:t>【行政处罚决定 （拟） 】</w:t>
            </w:r>
            <w:r>
              <w:rPr>
                <w:b/>
                <w:bCs/>
                <w:spacing w:val="-36"/>
              </w:rPr>
              <w:t xml:space="preserve"> </w:t>
            </w:r>
            <w:r>
              <w:rPr>
                <w:spacing w:val="1"/>
              </w:rPr>
              <w:t>中国证监会拟决定：</w:t>
            </w:r>
          </w:p>
          <w:p>
            <w:pPr>
              <w:pStyle w:val="TableText"/>
              <w:ind w:left="139"/>
              <w:spacing w:before="30" w:line="229" w:lineRule="auto"/>
              <w:rPr/>
            </w:pPr>
            <w:r>
              <w:rPr>
                <w:spacing w:val="1"/>
              </w:rPr>
              <w:t>（一） 对广汇物流责令改正， 给予警告， 并处以 500 万元罚款；</w:t>
            </w:r>
          </w:p>
          <w:p>
            <w:pPr>
              <w:pStyle w:val="TableText"/>
              <w:ind w:left="139"/>
              <w:spacing w:before="32" w:line="229" w:lineRule="auto"/>
              <w:rPr/>
            </w:pPr>
            <w:r>
              <w:rPr>
                <w:spacing w:val="3"/>
              </w:rPr>
              <w:t>（二） 对时任董事长杨某军给予警告， 并</w:t>
            </w:r>
            <w:r>
              <w:rPr>
                <w:spacing w:val="2"/>
              </w:rPr>
              <w:t>处以 250 万元罚款；</w:t>
            </w:r>
          </w:p>
          <w:p>
            <w:pPr>
              <w:pStyle w:val="TableText"/>
              <w:ind w:left="139"/>
              <w:spacing w:before="32" w:line="229" w:lineRule="auto"/>
              <w:rPr/>
            </w:pPr>
            <w:r>
              <w:rPr>
                <w:spacing w:val="2"/>
              </w:rPr>
              <w:t>（三） 对董事长赵某给予警告， 并处以 200 万元</w:t>
            </w:r>
            <w:r>
              <w:rPr>
                <w:spacing w:val="1"/>
              </w:rPr>
              <w:t>罚款；</w:t>
            </w:r>
          </w:p>
          <w:p>
            <w:pPr>
              <w:pStyle w:val="TableText"/>
              <w:ind w:left="139"/>
              <w:spacing w:before="32" w:line="229" w:lineRule="auto"/>
              <w:rPr/>
            </w:pPr>
            <w:r>
              <w:rPr>
                <w:spacing w:val="2"/>
              </w:rPr>
              <w:t>（四） 对总经理刘某给予警告， 并处以 180 万元</w:t>
            </w:r>
            <w:r>
              <w:rPr>
                <w:spacing w:val="1"/>
              </w:rPr>
              <w:t>罚款；</w:t>
            </w:r>
          </w:p>
          <w:p>
            <w:pPr>
              <w:pStyle w:val="TableText"/>
              <w:ind w:left="139"/>
              <w:spacing w:before="35" w:line="229" w:lineRule="auto"/>
              <w:rPr/>
            </w:pPr>
            <w:r>
              <w:rPr>
                <w:spacing w:val="5"/>
              </w:rPr>
              <w:t>（五） 对财务总监高某、崔某丽、董事会秘书,高管康某东给予警告， 并分别处以 150 万元罚</w:t>
            </w:r>
            <w:r>
              <w:rPr>
                <w:spacing w:val="4"/>
              </w:rPr>
              <w:t>款；</w:t>
            </w:r>
          </w:p>
          <w:p>
            <w:pPr>
              <w:pStyle w:val="TableText"/>
              <w:ind w:left="139"/>
              <w:spacing w:before="32" w:line="229" w:lineRule="auto"/>
              <w:rPr/>
            </w:pPr>
            <w:r>
              <w:rPr>
                <w:spacing w:val="4"/>
              </w:rPr>
              <w:t>（六） 对高管王某琴、监事王某林给予警告， 并分</w:t>
            </w:r>
            <w:r>
              <w:rPr>
                <w:spacing w:val="3"/>
              </w:rPr>
              <w:t>别处以 120 万元罚款；</w:t>
            </w:r>
          </w:p>
          <w:p>
            <w:pPr>
              <w:pStyle w:val="TableText"/>
              <w:ind w:left="139"/>
              <w:spacing w:before="32" w:line="227" w:lineRule="auto"/>
              <w:rPr/>
            </w:pPr>
            <w:r>
              <w:rPr>
                <w:spacing w:val="1"/>
              </w:rPr>
              <w:t>（七） 对高管何某给予警告， 并处以 80 万元罚款。</w:t>
            </w:r>
          </w:p>
        </w:tc>
      </w:tr>
    </w:tbl>
    <w:p>
      <w:pPr>
        <w:pStyle w:val="BodyText"/>
        <w:spacing w:line="14" w:lineRule="auto"/>
        <w:rPr>
          <w:sz w:val="2"/>
        </w:rPr>
      </w:pPr>
      <w:r/>
    </w:p>
    <w:p>
      <w:pPr>
        <w:spacing w:line="14" w:lineRule="auto"/>
        <w:sectPr>
          <w:type w:val="continuous"/>
          <w:pgSz w:w="11910" w:h="16840"/>
          <w:pgMar w:top="9" w:right="59" w:bottom="0" w:left="0" w:header="0" w:footer="0" w:gutter="0"/>
          <w:cols w:equalWidth="0" w:num="1">
            <w:col w:w="11851" w:space="0"/>
          </w:cols>
        </w:sectPr>
        <w:rPr>
          <w:sz w:val="2"/>
          <w:szCs w:val="2"/>
        </w:rPr>
      </w:pPr>
    </w:p>
    <w:tbl>
      <w:tblPr>
        <w:tblStyle w:val="TableNormal"/>
        <w:tblW w:w="9284" w:type="dxa"/>
        <w:tblInd w:w="495" w:type="dxa"/>
        <w:tblLayout w:type="fixed"/>
        <w:tblBorders>
          <w:left w:val="single" w:color="4F81BD" w:sz="6" w:space="0"/>
          <w:bottom w:val="single" w:color="4F81BD" w:sz="6" w:space="0"/>
          <w:right w:val="single" w:color="4F81BD" w:sz="6" w:space="0"/>
          <w:top w:val="single" w:color="FFFFFF" w:sz="2" w:space="0"/>
        </w:tblBorders>
      </w:tblPr>
      <w:tblGrid>
        <w:gridCol w:w="9284"/>
      </w:tblGrid>
      <w:tr>
        <w:trPr>
          <w:trHeight w:val="2180" w:hRule="atLeast"/>
        </w:trPr>
        <w:tc>
          <w:tcPr>
            <w:tcW w:w="9284" w:type="dxa"/>
            <w:vAlign w:val="top"/>
          </w:tcPr>
          <w:p>
            <w:pPr>
              <w:pStyle w:val="TableText"/>
              <w:ind w:left="103" w:right="103" w:firstLine="10"/>
              <w:spacing w:before="59" w:line="246" w:lineRule="auto"/>
              <w:rPr/>
            </w:pPr>
            <w:r>
              <w:rPr>
                <w:spacing w:val="9"/>
              </w:rPr>
              <w:t>时任董事长杨某军组织、安排实施伪造交付资料等造假行为， 违法行为情节严重。</w:t>
            </w:r>
            <w:r>
              <w:rPr>
                <w:spacing w:val="8"/>
              </w:rPr>
              <w:t>依据《证券法》</w:t>
            </w:r>
            <w:r>
              <w:rPr/>
              <w:t xml:space="preserve"> </w:t>
            </w:r>
            <w:r>
              <w:rPr>
                <w:spacing w:val="10"/>
              </w:rPr>
              <w:t>第二百二十一条和《证券市场禁入规定》 （证监会令第</w:t>
            </w:r>
            <w:r>
              <w:rPr>
                <w:spacing w:val="20"/>
                <w:w w:val="101"/>
              </w:rPr>
              <w:t xml:space="preserve"> </w:t>
            </w:r>
            <w:r>
              <w:rPr>
                <w:spacing w:val="10"/>
              </w:rPr>
              <w:t>185 号） 第三条第一</w:t>
            </w:r>
            <w:r>
              <w:rPr>
                <w:spacing w:val="9"/>
              </w:rPr>
              <w:t>项、第四条第一款第</w:t>
            </w:r>
            <w:r>
              <w:rPr/>
              <w:t xml:space="preserve"> </w:t>
            </w:r>
            <w:r>
              <w:rPr>
                <w:spacing w:val="6"/>
              </w:rPr>
              <w:t>一项、第五条、第七条第一款的规定， 中国证监会拟决定： 对杨某军采取 5 年证券市场禁入措施。</w:t>
            </w:r>
            <w:r>
              <w:rPr>
                <w:spacing w:val="13"/>
              </w:rPr>
              <w:t xml:space="preserve"> </w:t>
            </w:r>
            <w:r>
              <w:rPr>
                <w:spacing w:val="8"/>
              </w:rPr>
              <w:t>自中国证监会宣布决定之日起， 在禁入期间内， 除不得</w:t>
            </w:r>
            <w:r>
              <w:rPr>
                <w:spacing w:val="7"/>
              </w:rPr>
              <w:t>继续在原机构从事证券业务、证券服务业务</w:t>
            </w:r>
            <w:r>
              <w:rPr/>
              <w:t xml:space="preserve"> </w:t>
            </w:r>
            <w:r>
              <w:rPr>
                <w:spacing w:val="9"/>
              </w:rPr>
              <w:t>或者担任原证券发行人的董事、监事、高级管理人员职务外， 也不得在其他任何机构中从事证券业</w:t>
            </w:r>
            <w:r>
              <w:rPr>
                <w:spacing w:val="4"/>
              </w:rPr>
              <w:t xml:space="preserve"> </w:t>
            </w:r>
            <w:r>
              <w:rPr>
                <w:spacing w:val="10"/>
              </w:rPr>
              <w:t>务、证券服务业务或者担任其他证券发行人的</w:t>
            </w:r>
            <w:r>
              <w:rPr>
                <w:spacing w:val="9"/>
              </w:rPr>
              <w:t>董事、监事、高级管理人员职务。</w:t>
            </w:r>
          </w:p>
        </w:tc>
      </w:tr>
    </w:tbl>
    <w:p>
      <w:pPr>
        <w:pStyle w:val="BodyText"/>
        <w:spacing w:line="246" w:lineRule="auto"/>
        <w:rPr/>
      </w:pPr>
      <w:r/>
    </w:p>
    <w:p>
      <w:pPr>
        <w:spacing w:before="103" w:line="225" w:lineRule="auto"/>
        <w:outlineLvl w:val="1"/>
        <w:rPr>
          <w:rFonts w:ascii="Microsoft YaHei" w:hAnsi="Microsoft YaHei" w:eastAsia="Microsoft YaHei" w:cs="Microsoft YaHei"/>
          <w:sz w:val="24"/>
          <w:szCs w:val="24"/>
        </w:rPr>
      </w:pPr>
      <w:r>
        <w:rPr>
          <w:rFonts w:ascii="Microsoft YaHei" w:hAnsi="Microsoft YaHei" w:eastAsia="Microsoft YaHei" w:cs="Microsoft YaHei"/>
          <w:sz w:val="24"/>
          <w:szCs w:val="24"/>
          <w:b/>
          <w:bCs/>
          <w:spacing w:val="-11"/>
        </w:rPr>
        <w:t>（3） 行政监管措施</w:t>
      </w:r>
    </w:p>
    <w:p>
      <w:pPr>
        <w:spacing w:before="29"/>
        <w:rPr/>
      </w:pPr>
      <w:r/>
    </w:p>
    <w:p>
      <w:pPr>
        <w:spacing w:before="28"/>
        <w:rPr/>
      </w:pPr>
      <w:r/>
    </w:p>
    <w:p>
      <w:pPr>
        <w:spacing w:before="28"/>
        <w:rPr/>
      </w:pPr>
      <w:r/>
    </w:p>
    <w:tbl>
      <w:tblPr>
        <w:tblStyle w:val="TableNormal"/>
        <w:tblW w:w="9272" w:type="dxa"/>
        <w:tblInd w:w="478" w:type="dxa"/>
        <w:tblLayout w:type="fixed"/>
        <w:tblBorders>
          <w:top w:val="single" w:color="4F81BD" w:sz="6" w:space="0"/>
          <w:left w:val="single" w:color="4F81BD" w:sz="6" w:space="0"/>
          <w:bottom w:val="single" w:color="4F81BD" w:sz="6" w:space="0"/>
          <w:right w:val="single" w:color="4F81BD" w:sz="6" w:space="0"/>
          <w:insideH w:val="single" w:color="4F81BD" w:sz="6" w:space="0"/>
          <w:insideV w:val="single" w:color="4F81BD" w:sz="6" w:space="0"/>
        </w:tblBorders>
      </w:tblPr>
      <w:tblGrid>
        <w:gridCol w:w="1214"/>
        <w:gridCol w:w="1343"/>
        <w:gridCol w:w="6715"/>
      </w:tblGrid>
      <w:tr>
        <w:trPr>
          <w:trHeight w:val="387" w:hRule="atLeast"/>
        </w:trPr>
        <w:tc>
          <w:tcPr>
            <w:shd w:val="clear" w:fill="4F81BD"/>
            <w:tcW w:w="1214" w:type="dxa"/>
            <w:vAlign w:val="top"/>
            <w:tcBorders>
              <w:bottom w:val="single" w:color="FFFFFF" w:sz="2" w:space="0"/>
            </w:tcBorders>
          </w:tcPr>
          <w:p>
            <w:pPr>
              <w:pStyle w:val="TableText"/>
              <w:ind w:left="181"/>
              <w:spacing w:before="109" w:line="187" w:lineRule="auto"/>
              <w:rPr/>
            </w:pPr>
            <w:r>
              <w:rPr>
                <w:b/>
                <w:bCs/>
                <w:color w:val="FFFFFF"/>
                <w:spacing w:val="8"/>
              </w:rPr>
              <w:t>公司代码</w:t>
            </w:r>
          </w:p>
        </w:tc>
        <w:tc>
          <w:tcPr>
            <w:shd w:val="clear" w:fill="4F81BD"/>
            <w:tcW w:w="1343" w:type="dxa"/>
            <w:vAlign w:val="top"/>
            <w:tcBorders>
              <w:bottom w:val="single" w:color="FFFFFF" w:sz="2" w:space="0"/>
            </w:tcBorders>
          </w:tcPr>
          <w:p>
            <w:pPr>
              <w:pStyle w:val="TableText"/>
              <w:ind w:left="244"/>
              <w:spacing w:before="109" w:line="187" w:lineRule="auto"/>
              <w:rPr/>
            </w:pPr>
            <w:r>
              <w:rPr>
                <w:b/>
                <w:bCs/>
                <w:color w:val="FFFFFF"/>
                <w:spacing w:val="8"/>
              </w:rPr>
              <w:t>公司简称</w:t>
            </w:r>
          </w:p>
        </w:tc>
        <w:tc>
          <w:tcPr>
            <w:shd w:val="clear" w:fill="4F81BD"/>
            <w:tcW w:w="6715" w:type="dxa"/>
            <w:vAlign w:val="top"/>
            <w:tcBorders>
              <w:bottom w:val="single" w:color="FFFFFF" w:sz="2" w:space="0"/>
            </w:tcBorders>
          </w:tcPr>
          <w:p>
            <w:pPr>
              <w:pStyle w:val="TableText"/>
              <w:ind w:left="2930"/>
              <w:spacing w:before="109" w:line="187" w:lineRule="auto"/>
              <w:rPr/>
            </w:pPr>
            <w:r>
              <w:rPr>
                <w:b/>
                <w:bCs/>
                <w:color w:val="FFFFFF"/>
                <w:spacing w:val="8"/>
              </w:rPr>
              <w:t>违规行为</w:t>
            </w:r>
          </w:p>
        </w:tc>
      </w:tr>
      <w:tr>
        <w:trPr>
          <w:trHeight w:val="729" w:hRule="atLeast"/>
        </w:trPr>
        <w:tc>
          <w:tcPr>
            <w:shd w:val="clear" w:fill="B8CCE4"/>
            <w:tcW w:w="1214" w:type="dxa"/>
            <w:vAlign w:val="top"/>
            <w:tcBorders>
              <w:top w:val="single" w:color="FFFFFF" w:sz="2" w:space="0"/>
            </w:tcBorders>
          </w:tcPr>
          <w:p>
            <w:pPr>
              <w:pStyle w:val="TableText"/>
              <w:ind w:left="239"/>
              <w:spacing w:before="279" w:line="179" w:lineRule="auto"/>
              <w:rPr/>
            </w:pPr>
            <w:r>
              <w:rPr>
                <w:spacing w:val="3"/>
              </w:rPr>
              <w:t>601066</w:t>
            </w:r>
          </w:p>
        </w:tc>
        <w:tc>
          <w:tcPr>
            <w:shd w:val="clear" w:fill="B8CCE4"/>
            <w:tcW w:w="1343" w:type="dxa"/>
            <w:vAlign w:val="top"/>
            <w:tcBorders>
              <w:top w:val="single" w:color="FFFFFF" w:sz="2" w:space="0"/>
            </w:tcBorders>
          </w:tcPr>
          <w:p>
            <w:pPr>
              <w:pStyle w:val="TableText"/>
              <w:ind w:left="257"/>
              <w:spacing w:before="266" w:line="189" w:lineRule="auto"/>
              <w:rPr/>
            </w:pPr>
            <w:r>
              <w:rPr>
                <w:spacing w:val="5"/>
              </w:rPr>
              <w:t>中信建投</w:t>
            </w:r>
          </w:p>
        </w:tc>
        <w:tc>
          <w:tcPr>
            <w:shd w:val="clear" w:fill="B8CCE4"/>
            <w:tcW w:w="6715" w:type="dxa"/>
            <w:vAlign w:val="top"/>
            <w:tcBorders>
              <w:top w:val="single" w:color="FFFFFF" w:sz="2" w:space="0"/>
            </w:tcBorders>
          </w:tcPr>
          <w:p>
            <w:pPr>
              <w:pStyle w:val="TableText"/>
              <w:ind w:left="101" w:right="305" w:firstLine="13"/>
              <w:spacing w:before="87" w:line="221" w:lineRule="auto"/>
              <w:rPr/>
            </w:pPr>
            <w:r>
              <w:rPr>
                <w:spacing w:val="9"/>
              </w:rPr>
              <w:t>中信建投证券股份有限公司在广东紫晶信息存储技术股份有限公司申 </w:t>
            </w:r>
            <w:r>
              <w:rPr>
                <w:spacing w:val="9"/>
              </w:rPr>
              <w:t>请公开发行股票并在科创板上市保荐、承销项目中未勤勉尽责。</w:t>
            </w:r>
          </w:p>
        </w:tc>
      </w:tr>
      <w:tr>
        <w:trPr>
          <w:trHeight w:val="725" w:hRule="atLeast"/>
        </w:trPr>
        <w:tc>
          <w:tcPr>
            <w:tcW w:w="9272" w:type="dxa"/>
            <w:vAlign w:val="top"/>
            <w:gridSpan w:val="3"/>
          </w:tcPr>
          <w:p>
            <w:pPr>
              <w:pStyle w:val="TableText"/>
              <w:ind w:left="104" w:right="103" w:firstLine="18"/>
              <w:spacing w:before="40" w:line="236" w:lineRule="auto"/>
              <w:rPr/>
            </w:pPr>
            <w:r>
              <w:rPr>
                <w:b/>
                <w:bCs/>
                <w:spacing w:val="14"/>
              </w:rPr>
              <w:t>【行政监管措施】</w:t>
            </w:r>
            <w:r>
              <w:rPr>
                <w:b/>
                <w:bCs/>
                <w:spacing w:val="-18"/>
              </w:rPr>
              <w:t xml:space="preserve"> </w:t>
            </w:r>
            <w:r>
              <w:rPr>
                <w:spacing w:val="14"/>
              </w:rPr>
              <w:t>中国证券监督管理委员会广东监管局决定对董某欣采取监管谈话的行政监管措</w:t>
            </w:r>
            <w:r>
              <w:rPr/>
              <w:t xml:space="preserve"> </w:t>
            </w:r>
            <w:r>
              <w:rPr>
                <w:spacing w:val="3"/>
              </w:rPr>
              <w:t>施。</w:t>
            </w:r>
          </w:p>
        </w:tc>
      </w:tr>
      <w:tr>
        <w:trPr>
          <w:trHeight w:val="724" w:hRule="atLeast"/>
        </w:trPr>
        <w:tc>
          <w:tcPr>
            <w:shd w:val="clear" w:fill="B8CCE4"/>
            <w:tcW w:w="1214" w:type="dxa"/>
            <w:vAlign w:val="top"/>
          </w:tcPr>
          <w:p>
            <w:pPr>
              <w:pStyle w:val="TableText"/>
              <w:ind w:left="239"/>
              <w:spacing w:before="276" w:line="179" w:lineRule="auto"/>
              <w:rPr/>
            </w:pPr>
            <w:r>
              <w:rPr>
                <w:spacing w:val="3"/>
              </w:rPr>
              <w:t>601066</w:t>
            </w:r>
          </w:p>
        </w:tc>
        <w:tc>
          <w:tcPr>
            <w:shd w:val="clear" w:fill="B8CCE4"/>
            <w:tcW w:w="1343" w:type="dxa"/>
            <w:vAlign w:val="top"/>
          </w:tcPr>
          <w:p>
            <w:pPr>
              <w:pStyle w:val="TableText"/>
              <w:ind w:left="257"/>
              <w:spacing w:before="263" w:line="189" w:lineRule="auto"/>
              <w:rPr/>
            </w:pPr>
            <w:r>
              <w:rPr>
                <w:spacing w:val="5"/>
              </w:rPr>
              <w:t>中信建投</w:t>
            </w:r>
          </w:p>
        </w:tc>
        <w:tc>
          <w:tcPr>
            <w:shd w:val="clear" w:fill="B8CCE4"/>
            <w:tcW w:w="6715" w:type="dxa"/>
            <w:vAlign w:val="top"/>
          </w:tcPr>
          <w:p>
            <w:pPr>
              <w:pStyle w:val="TableText"/>
              <w:ind w:left="101" w:right="103" w:firstLine="13"/>
              <w:spacing w:before="82" w:line="221" w:lineRule="auto"/>
              <w:rPr/>
            </w:pPr>
            <w:r>
              <w:rPr>
                <w:spacing w:val="16"/>
              </w:rPr>
              <w:t>中信建投证券股份有限公司在广东紫晶信息存储技术股份有限公司申</w:t>
            </w:r>
            <w:r>
              <w:rPr>
                <w:spacing w:val="1"/>
              </w:rPr>
              <w:t xml:space="preserve"> </w:t>
            </w:r>
            <w:r>
              <w:rPr>
                <w:spacing w:val="9"/>
              </w:rPr>
              <w:t>请公开发行股票并在科创板上市保荐、承销项目中未勤勉尽责。</w:t>
            </w:r>
          </w:p>
        </w:tc>
      </w:tr>
      <w:tr>
        <w:trPr>
          <w:trHeight w:val="714" w:hRule="atLeast"/>
        </w:trPr>
        <w:tc>
          <w:tcPr>
            <w:tcW w:w="9272" w:type="dxa"/>
            <w:vAlign w:val="top"/>
            <w:gridSpan w:val="3"/>
          </w:tcPr>
          <w:p>
            <w:pPr>
              <w:pStyle w:val="TableText"/>
              <w:ind w:left="122"/>
              <w:spacing w:before="215" w:line="237" w:lineRule="auto"/>
              <w:rPr/>
            </w:pPr>
            <w:r>
              <w:rPr>
                <w:b/>
                <w:bCs/>
                <w:spacing w:val="9"/>
              </w:rPr>
              <w:t>【行政监管措施】</w:t>
            </w:r>
            <w:r>
              <w:rPr>
                <w:b/>
                <w:bCs/>
                <w:spacing w:val="-31"/>
              </w:rPr>
              <w:t xml:space="preserve"> </w:t>
            </w:r>
            <w:r>
              <w:rPr>
                <w:spacing w:val="9"/>
              </w:rPr>
              <w:t>中国证券监督管理委员会广东监管局</w:t>
            </w:r>
            <w:r>
              <w:rPr>
                <w:spacing w:val="8"/>
              </w:rPr>
              <w:t>决定对李某采取监管谈话的行政监管措施。</w:t>
            </w:r>
          </w:p>
        </w:tc>
      </w:tr>
      <w:tr>
        <w:trPr>
          <w:trHeight w:val="725" w:hRule="atLeast"/>
        </w:trPr>
        <w:tc>
          <w:tcPr>
            <w:shd w:val="clear" w:fill="B8CCE4"/>
            <w:tcW w:w="1214" w:type="dxa"/>
            <w:vAlign w:val="top"/>
          </w:tcPr>
          <w:p>
            <w:pPr>
              <w:pStyle w:val="TableText"/>
              <w:ind w:left="239"/>
              <w:spacing w:before="279" w:line="179" w:lineRule="auto"/>
              <w:rPr/>
            </w:pPr>
            <w:r>
              <w:rPr>
                <w:spacing w:val="3"/>
              </w:rPr>
              <w:t>601066</w:t>
            </w:r>
          </w:p>
        </w:tc>
        <w:tc>
          <w:tcPr>
            <w:shd w:val="clear" w:fill="B8CCE4"/>
            <w:tcW w:w="1343" w:type="dxa"/>
            <w:vAlign w:val="top"/>
          </w:tcPr>
          <w:p>
            <w:pPr>
              <w:pStyle w:val="TableText"/>
              <w:ind w:left="257"/>
              <w:spacing w:before="266" w:line="189" w:lineRule="auto"/>
              <w:rPr/>
            </w:pPr>
            <w:r>
              <w:rPr>
                <w:spacing w:val="5"/>
              </w:rPr>
              <w:t>中信建投</w:t>
            </w:r>
          </w:p>
        </w:tc>
        <w:tc>
          <w:tcPr>
            <w:shd w:val="clear" w:fill="B8CCE4"/>
            <w:tcW w:w="6715" w:type="dxa"/>
            <w:vAlign w:val="top"/>
          </w:tcPr>
          <w:p>
            <w:pPr>
              <w:pStyle w:val="TableText"/>
              <w:ind w:left="101" w:right="103" w:firstLine="13"/>
              <w:spacing w:before="85" w:line="220" w:lineRule="auto"/>
              <w:rPr/>
            </w:pPr>
            <w:r>
              <w:rPr>
                <w:spacing w:val="16"/>
              </w:rPr>
              <w:t>中信建投证券股份有限公司在广东紫晶信息存储技术股份有限公司申</w:t>
            </w:r>
            <w:r>
              <w:rPr>
                <w:spacing w:val="1"/>
              </w:rPr>
              <w:t xml:space="preserve"> </w:t>
            </w:r>
            <w:r>
              <w:rPr>
                <w:spacing w:val="9"/>
              </w:rPr>
              <w:t>请公开发行股票并在科创板上市保荐、承销项目中未勤勉尽责。</w:t>
            </w:r>
          </w:p>
        </w:tc>
      </w:tr>
      <w:tr>
        <w:trPr>
          <w:trHeight w:val="365" w:hRule="atLeast"/>
        </w:trPr>
        <w:tc>
          <w:tcPr>
            <w:tcW w:w="9272" w:type="dxa"/>
            <w:vAlign w:val="top"/>
            <w:gridSpan w:val="3"/>
          </w:tcPr>
          <w:p>
            <w:pPr>
              <w:pStyle w:val="TableText"/>
              <w:ind w:left="122"/>
              <w:spacing w:before="41" w:line="219" w:lineRule="auto"/>
              <w:rPr/>
            </w:pPr>
            <w:r>
              <w:rPr>
                <w:b/>
                <w:bCs/>
                <w:spacing w:val="9"/>
              </w:rPr>
              <w:t>【行政监管措施】</w:t>
            </w:r>
            <w:r>
              <w:rPr>
                <w:b/>
                <w:bCs/>
                <w:spacing w:val="-31"/>
              </w:rPr>
              <w:t xml:space="preserve"> </w:t>
            </w:r>
            <w:r>
              <w:rPr>
                <w:spacing w:val="9"/>
              </w:rPr>
              <w:t>中国证券监督管理委员会广东监管局</w:t>
            </w:r>
            <w:r>
              <w:rPr>
                <w:spacing w:val="8"/>
              </w:rPr>
              <w:t>决定对张某采取监管谈话的行政监管措施。</w:t>
            </w:r>
          </w:p>
        </w:tc>
      </w:tr>
      <w:tr>
        <w:trPr>
          <w:trHeight w:val="1085" w:hRule="atLeast"/>
        </w:trPr>
        <w:tc>
          <w:tcPr>
            <w:shd w:val="clear" w:fill="B8CCE4"/>
            <w:tcW w:w="1214" w:type="dxa"/>
            <w:vAlign w:val="top"/>
          </w:tcPr>
          <w:p>
            <w:pPr>
              <w:spacing w:line="371" w:lineRule="auto"/>
              <w:rPr>
                <w:rFonts w:ascii="Arial"/>
                <w:sz w:val="21"/>
              </w:rPr>
            </w:pPr>
            <w:r/>
          </w:p>
          <w:p>
            <w:pPr>
              <w:pStyle w:val="TableText"/>
              <w:ind w:left="239"/>
              <w:spacing w:before="86" w:line="178" w:lineRule="auto"/>
              <w:rPr/>
            </w:pPr>
            <w:r>
              <w:rPr>
                <w:spacing w:val="3"/>
              </w:rPr>
              <w:t>600083</w:t>
            </w:r>
          </w:p>
        </w:tc>
        <w:tc>
          <w:tcPr>
            <w:shd w:val="clear" w:fill="B8CCE4"/>
            <w:tcW w:w="1343" w:type="dxa"/>
            <w:vAlign w:val="top"/>
          </w:tcPr>
          <w:p>
            <w:pPr>
              <w:spacing w:line="356" w:lineRule="auto"/>
              <w:rPr>
                <w:rFonts w:ascii="Arial"/>
                <w:sz w:val="21"/>
              </w:rPr>
            </w:pPr>
            <w:r/>
          </w:p>
          <w:p>
            <w:pPr>
              <w:pStyle w:val="TableText"/>
              <w:ind w:left="262"/>
              <w:spacing w:before="86" w:line="189" w:lineRule="auto"/>
              <w:rPr/>
            </w:pPr>
            <w:r>
              <w:rPr>
                <w:spacing w:val="4"/>
              </w:rPr>
              <w:t>*</w:t>
            </w:r>
            <w:r>
              <w:rPr/>
              <w:t>ST</w:t>
            </w:r>
            <w:r>
              <w:rPr>
                <w:spacing w:val="4"/>
              </w:rPr>
              <w:t xml:space="preserve"> 博信</w:t>
            </w:r>
          </w:p>
        </w:tc>
        <w:tc>
          <w:tcPr>
            <w:shd w:val="clear" w:fill="B8CCE4"/>
            <w:tcW w:w="6715" w:type="dxa"/>
            <w:vAlign w:val="top"/>
          </w:tcPr>
          <w:p>
            <w:pPr>
              <w:pStyle w:val="TableText"/>
              <w:ind w:left="99" w:right="103" w:firstLine="9"/>
              <w:spacing w:before="84" w:line="231" w:lineRule="auto"/>
              <w:jc w:val="both"/>
              <w:rPr/>
            </w:pPr>
            <w:r>
              <w:rPr>
                <w:spacing w:val="9"/>
              </w:rPr>
              <w:t>2023 年度</w:t>
            </w:r>
            <w:r>
              <w:rPr>
                <w:b/>
                <w:bCs/>
                <w:spacing w:val="9"/>
              </w:rPr>
              <w:t>业绩预告</w:t>
            </w:r>
            <w:r>
              <w:rPr>
                <w:spacing w:val="9"/>
              </w:rPr>
              <w:t>等信息披露不准确、更正公告</w:t>
            </w:r>
            <w:r>
              <w:rPr>
                <w:spacing w:val="8"/>
              </w:rPr>
              <w:t>披露不及时； </w:t>
            </w:r>
            <w:r>
              <w:rPr>
                <w:b/>
                <w:bCs/>
                <w:spacing w:val="8"/>
              </w:rPr>
              <w:t>重大资</w:t>
            </w:r>
            <w:r>
              <w:rPr>
                <w:b/>
                <w:bCs/>
              </w:rPr>
              <w:t xml:space="preserve"> </w:t>
            </w:r>
            <w:r>
              <w:rPr>
                <w:b/>
                <w:bCs/>
                <w:spacing w:val="12"/>
              </w:rPr>
              <w:t>产重组</w:t>
            </w:r>
            <w:r>
              <w:rPr>
                <w:spacing w:val="12"/>
              </w:rPr>
              <w:t>所购买资产实现利润与预测金额存在重大差异； </w:t>
            </w:r>
            <w:r>
              <w:rPr>
                <w:b/>
                <w:bCs/>
                <w:spacing w:val="12"/>
              </w:rPr>
              <w:t>上证 e 互动</w:t>
            </w:r>
            <w:r>
              <w:rPr>
                <w:spacing w:val="12"/>
              </w:rPr>
              <w:t>发</w:t>
            </w:r>
            <w:r>
              <w:rPr>
                <w:spacing w:val="5"/>
              </w:rPr>
              <w:t xml:space="preserve"> </w:t>
            </w:r>
            <w:r>
              <w:rPr>
                <w:spacing w:val="9"/>
              </w:rPr>
              <w:t>布相关信息不完整、风险提示不充分。</w:t>
            </w:r>
          </w:p>
        </w:tc>
      </w:tr>
      <w:tr>
        <w:trPr>
          <w:trHeight w:val="1084" w:hRule="atLeast"/>
        </w:trPr>
        <w:tc>
          <w:tcPr>
            <w:tcW w:w="9272" w:type="dxa"/>
            <w:vAlign w:val="top"/>
            <w:gridSpan w:val="3"/>
          </w:tcPr>
          <w:p>
            <w:pPr>
              <w:pStyle w:val="TableText"/>
              <w:ind w:left="106" w:right="125" w:firstLine="16"/>
              <w:spacing w:before="44"/>
              <w:rPr/>
            </w:pPr>
            <w:r>
              <w:rPr>
                <w:b/>
                <w:bCs/>
                <w:spacing w:val="9"/>
              </w:rPr>
              <w:t>【行政监管措施】</w:t>
            </w:r>
            <w:r>
              <w:rPr>
                <w:b/>
                <w:bCs/>
                <w:spacing w:val="-31"/>
              </w:rPr>
              <w:t xml:space="preserve"> </w:t>
            </w:r>
            <w:r>
              <w:rPr>
                <w:spacing w:val="9"/>
              </w:rPr>
              <w:t>中国证券监督管理委员会江苏监管局决定对江苏博信投资控股</w:t>
            </w:r>
            <w:r>
              <w:rPr>
                <w:spacing w:val="8"/>
              </w:rPr>
              <w:t>股份有限公司、董</w:t>
            </w:r>
            <w:r>
              <w:rPr/>
              <w:t xml:space="preserve"> </w:t>
            </w:r>
            <w:r>
              <w:rPr>
                <w:spacing w:val="9"/>
              </w:rPr>
              <w:t>事长王某、总经理李某勇、财务总监冯某钢、</w:t>
            </w:r>
            <w:r>
              <w:rPr>
                <w:spacing w:val="-31"/>
              </w:rPr>
              <w:t xml:space="preserve"> </w:t>
            </w:r>
            <w:r>
              <w:rPr>
                <w:spacing w:val="9"/>
              </w:rPr>
              <w:t>时任董秘胡某凯采取出具警示函的监管措施,并记入</w:t>
            </w:r>
            <w:r>
              <w:rPr/>
              <w:t xml:space="preserve">    </w:t>
            </w:r>
            <w:r>
              <w:rPr>
                <w:spacing w:val="8"/>
              </w:rPr>
              <w:t>证券期货市场诚信档案。</w:t>
            </w:r>
          </w:p>
        </w:tc>
      </w:tr>
      <w:tr>
        <w:trPr>
          <w:trHeight w:val="365" w:hRule="atLeast"/>
        </w:trPr>
        <w:tc>
          <w:tcPr>
            <w:shd w:val="clear" w:fill="B8CCE4"/>
            <w:tcW w:w="1214" w:type="dxa"/>
            <w:vAlign w:val="top"/>
          </w:tcPr>
          <w:p>
            <w:pPr>
              <w:pStyle w:val="TableText"/>
              <w:ind w:left="242"/>
              <w:spacing w:before="101" w:line="177" w:lineRule="auto"/>
              <w:rPr/>
            </w:pPr>
            <w:r>
              <w:rPr>
                <w:spacing w:val="3"/>
              </w:rPr>
              <w:t>300166</w:t>
            </w:r>
          </w:p>
        </w:tc>
        <w:tc>
          <w:tcPr>
            <w:shd w:val="clear" w:fill="B8CCE4"/>
            <w:tcW w:w="1343" w:type="dxa"/>
            <w:vAlign w:val="top"/>
          </w:tcPr>
          <w:p>
            <w:pPr>
              <w:pStyle w:val="TableText"/>
              <w:ind w:left="242"/>
              <w:spacing w:before="89" w:line="186" w:lineRule="auto"/>
              <w:rPr/>
            </w:pPr>
            <w:r>
              <w:rPr>
                <w:spacing w:val="8"/>
              </w:rPr>
              <w:t>东方国信</w:t>
            </w:r>
          </w:p>
        </w:tc>
        <w:tc>
          <w:tcPr>
            <w:shd w:val="clear" w:fill="B8CCE4"/>
            <w:tcW w:w="6715" w:type="dxa"/>
            <w:vAlign w:val="top"/>
          </w:tcPr>
          <w:p>
            <w:pPr>
              <w:pStyle w:val="TableText"/>
              <w:ind w:left="99"/>
              <w:spacing w:before="87" w:line="187" w:lineRule="auto"/>
              <w:rPr/>
            </w:pPr>
            <w:r>
              <w:rPr>
                <w:spacing w:val="9"/>
              </w:rPr>
              <w:t>公司存在</w:t>
            </w:r>
            <w:r>
              <w:rPr>
                <w:b/>
                <w:bCs/>
                <w:spacing w:val="9"/>
              </w:rPr>
              <w:t>超授权期限</w:t>
            </w:r>
            <w:r>
              <w:rPr>
                <w:spacing w:val="9"/>
              </w:rPr>
              <w:t>对闲募集资金进行现金管理的情形。</w:t>
            </w:r>
          </w:p>
        </w:tc>
      </w:tr>
      <w:tr>
        <w:trPr>
          <w:trHeight w:val="1084" w:hRule="atLeast"/>
        </w:trPr>
        <w:tc>
          <w:tcPr>
            <w:tcW w:w="9272" w:type="dxa"/>
            <w:vAlign w:val="top"/>
            <w:gridSpan w:val="3"/>
          </w:tcPr>
          <w:p>
            <w:pPr>
              <w:pStyle w:val="TableText"/>
              <w:ind w:left="105" w:right="127" w:firstLine="17"/>
              <w:spacing w:before="48" w:line="239" w:lineRule="auto"/>
              <w:rPr/>
            </w:pPr>
            <w:r>
              <w:rPr>
                <w:b/>
                <w:bCs/>
                <w:spacing w:val="9"/>
              </w:rPr>
              <w:t>【行政监管措施</w:t>
            </w:r>
            <w:r>
              <w:rPr>
                <w:spacing w:val="9"/>
              </w:rPr>
              <w:t>】</w:t>
            </w:r>
            <w:r>
              <w:rPr>
                <w:spacing w:val="-33"/>
              </w:rPr>
              <w:t xml:space="preserve"> </w:t>
            </w:r>
            <w:r>
              <w:rPr>
                <w:spacing w:val="9"/>
              </w:rPr>
              <w:t>中国证券监督管理委员会北京监管局决定对北京东方国信科技</w:t>
            </w:r>
            <w:r>
              <w:rPr>
                <w:spacing w:val="8"/>
              </w:rPr>
              <w:t>股份有限公司、时</w:t>
            </w:r>
            <w:r>
              <w:rPr/>
              <w:t xml:space="preserve"> </w:t>
            </w:r>
            <w:r>
              <w:rPr>
                <w:spacing w:val="10"/>
              </w:rPr>
              <w:t>任财务总监肖某玉、时任董秘刘某斐采取出具警示函的行政监管措</w:t>
            </w:r>
            <w:r>
              <w:rPr>
                <w:spacing w:val="9"/>
              </w:rPr>
              <w:t>施,并记入证券期货市场诚信档</w:t>
            </w:r>
            <w:r>
              <w:rPr/>
              <w:t xml:space="preserve">    </w:t>
            </w:r>
            <w:r>
              <w:rPr>
                <w:spacing w:val="3"/>
              </w:rPr>
              <w:t>案。</w:t>
            </w:r>
          </w:p>
        </w:tc>
      </w:tr>
      <w:tr>
        <w:trPr>
          <w:trHeight w:val="725" w:hRule="atLeast"/>
        </w:trPr>
        <w:tc>
          <w:tcPr>
            <w:shd w:val="clear" w:fill="B8CCE4"/>
            <w:tcW w:w="1214" w:type="dxa"/>
            <w:vAlign w:val="top"/>
          </w:tcPr>
          <w:p>
            <w:pPr>
              <w:pStyle w:val="TableText"/>
              <w:ind w:left="236"/>
              <w:spacing w:before="284" w:line="179" w:lineRule="auto"/>
              <w:rPr/>
            </w:pPr>
            <w:r>
              <w:rPr>
                <w:spacing w:val="3"/>
              </w:rPr>
              <w:t>002721</w:t>
            </w:r>
          </w:p>
        </w:tc>
        <w:tc>
          <w:tcPr>
            <w:shd w:val="clear" w:fill="B8CCE4"/>
            <w:tcW w:w="1343" w:type="dxa"/>
            <w:vAlign w:val="top"/>
          </w:tcPr>
          <w:p>
            <w:pPr>
              <w:pStyle w:val="TableText"/>
              <w:ind w:left="315"/>
              <w:spacing w:before="273" w:line="187" w:lineRule="auto"/>
              <w:rPr/>
            </w:pPr>
            <w:r>
              <w:rPr/>
              <w:t>ST</w:t>
            </w:r>
            <w:r>
              <w:rPr>
                <w:spacing w:val="2"/>
              </w:rPr>
              <w:t xml:space="preserve"> 金一</w:t>
            </w:r>
          </w:p>
        </w:tc>
        <w:tc>
          <w:tcPr>
            <w:shd w:val="clear" w:fill="B8CCE4"/>
            <w:tcW w:w="6715" w:type="dxa"/>
            <w:vAlign w:val="top"/>
          </w:tcPr>
          <w:p>
            <w:pPr>
              <w:pStyle w:val="TableText"/>
              <w:ind w:left="99" w:right="108"/>
              <w:spacing w:before="88" w:line="219" w:lineRule="auto"/>
              <w:rPr/>
            </w:pPr>
            <w:r>
              <w:rPr>
                <w:spacing w:val="7"/>
              </w:rPr>
              <w:t>北京金一文化发展股份有限公司 2020 年及 2021 年存货减值不充分,导</w:t>
            </w:r>
            <w:r>
              <w:rPr>
                <w:spacing w:val="1"/>
              </w:rPr>
              <w:t xml:space="preserve"> </w:t>
            </w:r>
            <w:r>
              <w:rPr>
                <w:spacing w:val="5"/>
              </w:rPr>
              <w:t>致公司 2020 年、</w:t>
            </w:r>
            <w:r>
              <w:rPr>
                <w:spacing w:val="-30"/>
              </w:rPr>
              <w:t xml:space="preserve"> </w:t>
            </w:r>
            <w:r>
              <w:rPr>
                <w:spacing w:val="5"/>
              </w:rPr>
              <w:t>2021 年年度报告</w:t>
            </w:r>
            <w:r>
              <w:rPr>
                <w:b/>
                <w:bCs/>
                <w:spacing w:val="5"/>
              </w:rPr>
              <w:t>存在错报。</w:t>
            </w:r>
          </w:p>
        </w:tc>
      </w:tr>
      <w:tr>
        <w:trPr>
          <w:trHeight w:val="724" w:hRule="atLeast"/>
        </w:trPr>
        <w:tc>
          <w:tcPr>
            <w:tcW w:w="9272" w:type="dxa"/>
            <w:vAlign w:val="top"/>
            <w:gridSpan w:val="3"/>
          </w:tcPr>
          <w:p>
            <w:pPr>
              <w:pStyle w:val="TableText"/>
              <w:ind w:left="118" w:right="103" w:firstLine="4"/>
              <w:spacing w:before="47" w:line="233" w:lineRule="auto"/>
              <w:rPr/>
            </w:pPr>
            <w:r>
              <w:rPr>
                <w:b/>
                <w:bCs/>
                <w:spacing w:val="13"/>
              </w:rPr>
              <w:t>【行政监管措施】</w:t>
            </w:r>
            <w:r>
              <w:rPr>
                <w:b/>
                <w:bCs/>
                <w:spacing w:val="-22"/>
              </w:rPr>
              <w:t xml:space="preserve"> </w:t>
            </w:r>
            <w:r>
              <w:rPr>
                <w:spacing w:val="13"/>
              </w:rPr>
              <w:t>中国证券监督管理委员会北京监管局决定对</w:t>
            </w:r>
            <w:r>
              <w:rPr>
                <w:spacing w:val="12"/>
              </w:rPr>
              <w:t>董事,时任高管孙某友采取出具警示</w:t>
            </w:r>
            <w:r>
              <w:rPr/>
              <w:t xml:space="preserve"> </w:t>
            </w:r>
            <w:r>
              <w:rPr>
                <w:spacing w:val="8"/>
              </w:rPr>
              <w:t>函的行政监管措施,并记入证券期货诚信档案。</w:t>
            </w:r>
          </w:p>
        </w:tc>
      </w:tr>
      <w:tr>
        <w:trPr>
          <w:trHeight w:val="724" w:hRule="atLeast"/>
        </w:trPr>
        <w:tc>
          <w:tcPr>
            <w:shd w:val="clear" w:fill="B8CCE4"/>
            <w:tcW w:w="1214" w:type="dxa"/>
            <w:vAlign w:val="top"/>
          </w:tcPr>
          <w:p>
            <w:pPr>
              <w:pStyle w:val="TableText"/>
              <w:ind w:left="239"/>
              <w:spacing w:before="287" w:line="178" w:lineRule="auto"/>
              <w:rPr/>
            </w:pPr>
            <w:r>
              <w:rPr>
                <w:spacing w:val="3"/>
              </w:rPr>
              <w:t>603822</w:t>
            </w:r>
          </w:p>
        </w:tc>
        <w:tc>
          <w:tcPr>
            <w:shd w:val="clear" w:fill="B8CCE4"/>
            <w:tcW w:w="1343" w:type="dxa"/>
            <w:vAlign w:val="top"/>
          </w:tcPr>
          <w:p>
            <w:pPr>
              <w:pStyle w:val="TableText"/>
              <w:ind w:left="244"/>
              <w:spacing w:before="272" w:line="189" w:lineRule="auto"/>
              <w:rPr/>
            </w:pPr>
            <w:r>
              <w:rPr>
                <w:spacing w:val="8"/>
              </w:rPr>
              <w:t>嘉澳环保</w:t>
            </w:r>
          </w:p>
        </w:tc>
        <w:tc>
          <w:tcPr>
            <w:shd w:val="clear" w:fill="B8CCE4"/>
            <w:tcW w:w="6715" w:type="dxa"/>
            <w:vAlign w:val="top"/>
          </w:tcPr>
          <w:p>
            <w:pPr>
              <w:pStyle w:val="TableText"/>
              <w:ind w:left="101" w:right="105" w:hanging="2"/>
              <w:spacing w:before="90" w:line="218" w:lineRule="auto"/>
              <w:rPr/>
            </w:pPr>
            <w:r>
              <w:rPr>
                <w:spacing w:val="10"/>
              </w:rPr>
              <w:t>在建工程未按规定转固定资产导致公司 2022 </w:t>
            </w:r>
            <w:r>
              <w:rPr>
                <w:b/>
                <w:bCs/>
                <w:spacing w:val="10"/>
              </w:rPr>
              <w:t>年度报告</w:t>
            </w:r>
            <w:r>
              <w:rPr>
                <w:spacing w:val="10"/>
              </w:rPr>
              <w:t>、</w:t>
            </w:r>
            <w:r>
              <w:rPr>
                <w:spacing w:val="-36"/>
              </w:rPr>
              <w:t xml:space="preserve"> </w:t>
            </w:r>
            <w:r>
              <w:rPr>
                <w:spacing w:val="10"/>
              </w:rPr>
              <w:t>20</w:t>
            </w:r>
            <w:r>
              <w:rPr>
                <w:spacing w:val="9"/>
              </w:rPr>
              <w:t>23 </w:t>
            </w:r>
            <w:r>
              <w:rPr>
                <w:b/>
                <w:bCs/>
                <w:spacing w:val="9"/>
              </w:rPr>
              <w:t>年度报</w:t>
            </w:r>
            <w:r>
              <w:rPr>
                <w:b/>
                <w:bCs/>
              </w:rPr>
              <w:t xml:space="preserve"> </w:t>
            </w:r>
            <w:r>
              <w:rPr>
                <w:b/>
                <w:bCs/>
                <w:spacing w:val="8"/>
              </w:rPr>
              <w:t>告</w:t>
            </w:r>
            <w:r>
              <w:rPr>
                <w:spacing w:val="8"/>
              </w:rPr>
              <w:t>信息披露不准确。</w:t>
            </w:r>
          </w:p>
        </w:tc>
      </w:tr>
      <w:tr>
        <w:trPr>
          <w:trHeight w:val="725" w:hRule="atLeast"/>
        </w:trPr>
        <w:tc>
          <w:tcPr>
            <w:tcW w:w="9272" w:type="dxa"/>
            <w:vAlign w:val="top"/>
            <w:gridSpan w:val="3"/>
          </w:tcPr>
          <w:p>
            <w:pPr>
              <w:pStyle w:val="TableText"/>
              <w:ind w:left="106" w:right="285" w:firstLine="16"/>
              <w:spacing w:before="51" w:line="232" w:lineRule="auto"/>
              <w:rPr/>
            </w:pPr>
            <w:r>
              <w:rPr>
                <w:b/>
                <w:bCs/>
                <w:spacing w:val="9"/>
              </w:rPr>
              <w:t>【行政监管措施】</w:t>
            </w:r>
            <w:r>
              <w:rPr>
                <w:b/>
                <w:bCs/>
                <w:spacing w:val="-31"/>
              </w:rPr>
              <w:t xml:space="preserve"> </w:t>
            </w:r>
            <w:r>
              <w:rPr>
                <w:spacing w:val="9"/>
              </w:rPr>
              <w:t>中国证券监督管理委员会浙江监管局决定</w:t>
            </w:r>
            <w:r>
              <w:rPr>
                <w:spacing w:val="8"/>
              </w:rPr>
              <w:t>对公司、董事长,总经理沈某、董事会</w:t>
            </w:r>
            <w:r>
              <w:rPr/>
              <w:t xml:space="preserve"> </w:t>
            </w:r>
            <w:r>
              <w:rPr>
                <w:spacing w:val="8"/>
              </w:rPr>
              <w:t>秘书,财务总监吴某敏采取出具警示函的监督管理措施， 并</w:t>
            </w:r>
            <w:r>
              <w:rPr>
                <w:spacing w:val="7"/>
              </w:rPr>
              <w:t>记入证券期货市场诚信档案。</w:t>
            </w:r>
          </w:p>
        </w:tc>
      </w:tr>
      <w:tr>
        <w:trPr>
          <w:trHeight w:val="1452" w:hRule="atLeast"/>
        </w:trPr>
        <w:tc>
          <w:tcPr>
            <w:shd w:val="clear" w:fill="B8CCE4"/>
            <w:tcW w:w="1214" w:type="dxa"/>
            <w:vAlign w:val="top"/>
          </w:tcPr>
          <w:p>
            <w:pPr>
              <w:spacing w:line="279" w:lineRule="auto"/>
              <w:rPr>
                <w:rFonts w:ascii="Arial"/>
                <w:sz w:val="21"/>
              </w:rPr>
            </w:pPr>
            <w:r/>
          </w:p>
          <w:p>
            <w:pPr>
              <w:spacing w:line="280" w:lineRule="auto"/>
              <w:rPr>
                <w:rFonts w:ascii="Arial"/>
                <w:sz w:val="21"/>
              </w:rPr>
            </w:pPr>
            <w:r/>
          </w:p>
          <w:p>
            <w:pPr>
              <w:pStyle w:val="TableText"/>
              <w:ind w:left="236"/>
              <w:spacing w:before="86" w:line="178" w:lineRule="auto"/>
              <w:rPr/>
            </w:pPr>
            <w:r>
              <w:rPr>
                <w:spacing w:val="3"/>
              </w:rPr>
              <w:t>000836</w:t>
            </w:r>
          </w:p>
        </w:tc>
        <w:tc>
          <w:tcPr>
            <w:shd w:val="clear" w:fill="B8CCE4"/>
            <w:tcW w:w="1343" w:type="dxa"/>
            <w:vAlign w:val="top"/>
          </w:tcPr>
          <w:p>
            <w:pPr>
              <w:spacing w:line="272" w:lineRule="auto"/>
              <w:rPr>
                <w:rFonts w:ascii="Arial"/>
                <w:sz w:val="21"/>
              </w:rPr>
            </w:pPr>
            <w:r/>
          </w:p>
          <w:p>
            <w:pPr>
              <w:spacing w:line="273" w:lineRule="auto"/>
              <w:rPr>
                <w:rFonts w:ascii="Arial"/>
                <w:sz w:val="21"/>
              </w:rPr>
            </w:pPr>
            <w:r/>
          </w:p>
          <w:p>
            <w:pPr>
              <w:pStyle w:val="TableText"/>
              <w:ind w:left="315"/>
              <w:spacing w:before="86" w:line="189" w:lineRule="auto"/>
              <w:rPr/>
            </w:pPr>
            <w:r>
              <w:rPr/>
              <w:t>ST</w:t>
            </w:r>
            <w:r>
              <w:rPr>
                <w:spacing w:val="2"/>
              </w:rPr>
              <w:t xml:space="preserve"> 富通</w:t>
            </w:r>
          </w:p>
        </w:tc>
        <w:tc>
          <w:tcPr>
            <w:shd w:val="clear" w:fill="B8CCE4"/>
            <w:tcW w:w="6715" w:type="dxa"/>
            <w:vAlign w:val="top"/>
          </w:tcPr>
          <w:p>
            <w:pPr>
              <w:pStyle w:val="TableText"/>
              <w:ind w:left="98" w:right="103" w:firstLine="1"/>
              <w:spacing w:before="92" w:line="236" w:lineRule="auto"/>
              <w:rPr/>
            </w:pPr>
            <w:r>
              <w:rPr>
                <w:spacing w:val="12"/>
              </w:rPr>
              <w:t>未及时披露累计</w:t>
            </w:r>
            <w:r>
              <w:rPr>
                <w:b/>
                <w:bCs/>
                <w:spacing w:val="12"/>
              </w:rPr>
              <w:t>诉讼、</w:t>
            </w:r>
            <w:r>
              <w:rPr>
                <w:b/>
                <w:bCs/>
                <w:spacing w:val="-31"/>
              </w:rPr>
              <w:t xml:space="preserve"> </w:t>
            </w:r>
            <w:r>
              <w:rPr>
                <w:b/>
                <w:bCs/>
                <w:spacing w:val="12"/>
              </w:rPr>
              <w:t>仲裁</w:t>
            </w:r>
            <w:r>
              <w:rPr>
                <w:spacing w:val="12"/>
              </w:rPr>
              <w:t>信息； 未及时披露</w:t>
            </w:r>
            <w:r>
              <w:rPr>
                <w:b/>
                <w:bCs/>
                <w:spacing w:val="12"/>
              </w:rPr>
              <w:t>银行</w:t>
            </w:r>
            <w:r>
              <w:rPr>
                <w:b/>
                <w:bCs/>
                <w:spacing w:val="11"/>
              </w:rPr>
              <w:t>账户被冻结</w:t>
            </w:r>
            <w:r>
              <w:rPr>
                <w:spacing w:val="11"/>
              </w:rPr>
              <w:t>情况；</w:t>
            </w:r>
            <w:r>
              <w:rPr/>
              <w:t xml:space="preserve">  </w:t>
            </w:r>
            <w:r>
              <w:rPr>
                <w:spacing w:val="10"/>
              </w:rPr>
              <w:t>未及时披露</w:t>
            </w:r>
            <w:r>
              <w:rPr>
                <w:b/>
                <w:bCs/>
                <w:spacing w:val="10"/>
              </w:rPr>
              <w:t>子公司停产停工</w:t>
            </w:r>
            <w:r>
              <w:rPr>
                <w:spacing w:val="10"/>
              </w:rPr>
              <w:t>相关事项； 2023 年一季度报告、</w:t>
            </w:r>
            <w:r>
              <w:rPr>
                <w:spacing w:val="-33"/>
              </w:rPr>
              <w:t xml:space="preserve"> </w:t>
            </w:r>
            <w:r>
              <w:rPr>
                <w:spacing w:val="10"/>
              </w:rPr>
              <w:t>2</w:t>
            </w:r>
            <w:r>
              <w:rPr>
                <w:spacing w:val="9"/>
              </w:rPr>
              <w:t>023 年</w:t>
            </w:r>
            <w:r>
              <w:rPr/>
              <w:t xml:space="preserve"> </w:t>
            </w:r>
            <w:r>
              <w:rPr>
                <w:spacing w:val="9"/>
              </w:rPr>
              <w:t>半年度报告、</w:t>
            </w:r>
            <w:r>
              <w:rPr>
                <w:spacing w:val="-28"/>
              </w:rPr>
              <w:t xml:space="preserve"> </w:t>
            </w:r>
            <w:r>
              <w:rPr>
                <w:spacing w:val="9"/>
              </w:rPr>
              <w:t>2023 年三季度报告披露数据</w:t>
            </w:r>
            <w:r>
              <w:rPr>
                <w:b/>
                <w:bCs/>
                <w:spacing w:val="9"/>
              </w:rPr>
              <w:t>不真实、</w:t>
            </w:r>
            <w:r>
              <w:rPr>
                <w:b/>
                <w:bCs/>
                <w:spacing w:val="-34"/>
              </w:rPr>
              <w:t xml:space="preserve"> </w:t>
            </w:r>
            <w:r>
              <w:rPr>
                <w:b/>
                <w:bCs/>
                <w:spacing w:val="9"/>
              </w:rPr>
              <w:t>不准确</w:t>
            </w:r>
            <w:r>
              <w:rPr>
                <w:spacing w:val="9"/>
              </w:rPr>
              <w:t>； 2023 年</w:t>
            </w:r>
            <w:r>
              <w:rPr/>
              <w:t xml:space="preserve"> </w:t>
            </w:r>
            <w:r>
              <w:rPr>
                <w:spacing w:val="9"/>
              </w:rPr>
              <w:t>度</w:t>
            </w:r>
            <w:r>
              <w:rPr>
                <w:b/>
                <w:bCs/>
                <w:spacing w:val="9"/>
              </w:rPr>
              <w:t>业绩预告</w:t>
            </w:r>
            <w:r>
              <w:rPr>
                <w:spacing w:val="9"/>
              </w:rPr>
              <w:t>披露数据不准确。</w:t>
            </w:r>
          </w:p>
        </w:tc>
      </w:tr>
    </w:tbl>
    <w:p>
      <w:pPr>
        <w:pStyle w:val="BodyText"/>
        <w:spacing w:line="99" w:lineRule="exact"/>
        <w:rPr>
          <w:sz w:val="8"/>
        </w:rPr>
      </w:pPr>
      <w:r/>
    </w:p>
    <w:p>
      <w:pPr>
        <w:spacing w:line="99" w:lineRule="exact"/>
        <w:sectPr>
          <w:footerReference w:type="default" r:id="rId13"/>
          <w:pgSz w:w="11910" w:h="16840"/>
          <w:pgMar w:top="400" w:right="1365" w:bottom="1" w:left="757" w:header="0" w:footer="0" w:gutter="0"/>
        </w:sectPr>
        <w:rPr>
          <w:sz w:val="8"/>
          <w:szCs w:val="8"/>
        </w:rPr>
      </w:pPr>
    </w:p>
    <w:tbl>
      <w:tblPr>
        <w:tblStyle w:val="TableNormal"/>
        <w:tblW w:w="9272" w:type="dxa"/>
        <w:tblInd w:w="7" w:type="dxa"/>
        <w:tblLayout w:type="fixed"/>
        <w:tblBorders>
          <w:top w:val="single" w:color="4F81BD" w:sz="6" w:space="0"/>
          <w:left w:val="single" w:color="4F81BD" w:sz="6" w:space="0"/>
          <w:bottom w:val="single" w:color="4F81BD" w:sz="6" w:space="0"/>
          <w:right w:val="single" w:color="4F81BD" w:sz="6" w:space="0"/>
          <w:insideH w:val="single" w:color="4F81BD" w:sz="6" w:space="0"/>
          <w:insideV w:val="single" w:color="4F81BD" w:sz="6" w:space="0"/>
        </w:tblBorders>
      </w:tblPr>
      <w:tblGrid>
        <w:gridCol w:w="1214"/>
        <w:gridCol w:w="1343"/>
        <w:gridCol w:w="6715"/>
      </w:tblGrid>
      <w:tr>
        <w:trPr>
          <w:trHeight w:val="1104" w:hRule="atLeast"/>
        </w:trPr>
        <w:tc>
          <w:tcPr>
            <w:tcW w:w="9272" w:type="dxa"/>
            <w:vAlign w:val="top"/>
            <w:gridSpan w:val="3"/>
            <w:tcBorders>
              <w:top w:val="single" w:color="FFFFFF" w:sz="2" w:space="0"/>
            </w:tcBorders>
          </w:tcPr>
          <w:p>
            <w:pPr>
              <w:pStyle w:val="TableText"/>
              <w:ind w:left="104" w:right="125" w:firstLine="18"/>
              <w:spacing w:before="60" w:line="241" w:lineRule="auto"/>
              <w:rPr/>
            </w:pPr>
            <w:r>
              <w:rPr>
                <w:b/>
                <w:bCs/>
                <w:spacing w:val="9"/>
              </w:rPr>
              <w:t>【行政监管措施】</w:t>
            </w:r>
            <w:r>
              <w:rPr>
                <w:b/>
                <w:bCs/>
                <w:spacing w:val="-31"/>
              </w:rPr>
              <w:t xml:space="preserve"> </w:t>
            </w:r>
            <w:r>
              <w:rPr>
                <w:spacing w:val="9"/>
              </w:rPr>
              <w:t>中国证券监督管理委员会天津监管局决定对天津富通信息科技</w:t>
            </w:r>
            <w:r>
              <w:rPr>
                <w:spacing w:val="8"/>
              </w:rPr>
              <w:t>股份有限公司、董</w:t>
            </w:r>
            <w:r>
              <w:rPr/>
              <w:t xml:space="preserve"> </w:t>
            </w:r>
            <w:r>
              <w:rPr>
                <w:spacing w:val="9"/>
              </w:rPr>
              <w:t>事会秘书,董事长徐某、总经理肖某、</w:t>
            </w:r>
            <w:r>
              <w:rPr>
                <w:spacing w:val="-30"/>
              </w:rPr>
              <w:t xml:space="preserve"> </w:t>
            </w:r>
            <w:r>
              <w:rPr>
                <w:spacing w:val="9"/>
              </w:rPr>
              <w:t>时任财务总监朱某群、财务总监温某钰采取出具警示函的监</w:t>
            </w:r>
            <w:r>
              <w:rPr/>
              <w:t xml:space="preserve">    </w:t>
            </w:r>
            <w:r>
              <w:rPr>
                <w:spacing w:val="7"/>
              </w:rPr>
              <w:t>督管理措施。</w:t>
            </w:r>
          </w:p>
        </w:tc>
      </w:tr>
      <w:tr>
        <w:trPr>
          <w:trHeight w:val="364" w:hRule="atLeast"/>
        </w:trPr>
        <w:tc>
          <w:tcPr>
            <w:shd w:val="clear" w:fill="B8CCE4"/>
            <w:tcW w:w="1214" w:type="dxa"/>
            <w:vAlign w:val="top"/>
          </w:tcPr>
          <w:p>
            <w:pPr>
              <w:pStyle w:val="TableText"/>
              <w:ind w:left="239"/>
              <w:spacing w:before="96" w:line="178" w:lineRule="auto"/>
              <w:rPr/>
            </w:pPr>
            <w:r>
              <w:rPr>
                <w:spacing w:val="3"/>
              </w:rPr>
              <w:t>600225</w:t>
            </w:r>
          </w:p>
        </w:tc>
        <w:tc>
          <w:tcPr>
            <w:shd w:val="clear" w:fill="B8CCE4"/>
            <w:tcW w:w="1343" w:type="dxa"/>
            <w:vAlign w:val="top"/>
          </w:tcPr>
          <w:p>
            <w:pPr>
              <w:pStyle w:val="TableText"/>
              <w:ind w:left="245"/>
              <w:spacing w:before="81" w:line="189" w:lineRule="auto"/>
              <w:rPr/>
            </w:pPr>
            <w:r>
              <w:rPr>
                <w:spacing w:val="8"/>
              </w:rPr>
              <w:t>卓朗科技</w:t>
            </w:r>
          </w:p>
        </w:tc>
        <w:tc>
          <w:tcPr>
            <w:shd w:val="clear" w:fill="B8CCE4"/>
            <w:tcW w:w="6715" w:type="dxa"/>
            <w:vAlign w:val="top"/>
          </w:tcPr>
          <w:p>
            <w:pPr>
              <w:pStyle w:val="TableText"/>
              <w:ind w:left="102"/>
              <w:spacing w:before="80" w:line="190" w:lineRule="auto"/>
              <w:rPr/>
            </w:pPr>
            <w:r>
              <w:rPr>
                <w:spacing w:val="9"/>
              </w:rPr>
              <w:t>卓朗科技</w:t>
            </w:r>
            <w:r>
              <w:rPr>
                <w:b/>
                <w:bCs/>
                <w:spacing w:val="9"/>
              </w:rPr>
              <w:t>业绩预告与</w:t>
            </w:r>
            <w:r>
              <w:rPr>
                <w:spacing w:val="9"/>
              </w:rPr>
              <w:t>年度报告中披露的相关数据存在较大差异。</w:t>
            </w:r>
          </w:p>
        </w:tc>
      </w:tr>
      <w:tr>
        <w:trPr>
          <w:trHeight w:val="724" w:hRule="atLeast"/>
        </w:trPr>
        <w:tc>
          <w:tcPr>
            <w:tcW w:w="9272" w:type="dxa"/>
            <w:vAlign w:val="top"/>
            <w:gridSpan w:val="3"/>
          </w:tcPr>
          <w:p>
            <w:pPr>
              <w:pStyle w:val="TableText"/>
              <w:ind w:left="106" w:right="125" w:firstLine="16"/>
              <w:spacing w:before="39" w:line="236" w:lineRule="auto"/>
              <w:rPr/>
            </w:pPr>
            <w:r>
              <w:rPr>
                <w:b/>
                <w:bCs/>
                <w:spacing w:val="9"/>
              </w:rPr>
              <w:t>【行政监管措施】</w:t>
            </w:r>
            <w:r>
              <w:rPr>
                <w:b/>
                <w:bCs/>
                <w:spacing w:val="-31"/>
              </w:rPr>
              <w:t xml:space="preserve"> </w:t>
            </w:r>
            <w:r>
              <w:rPr>
                <w:spacing w:val="9"/>
              </w:rPr>
              <w:t>中国证券监督管理委员会天津监管局决定对卓朗科技、董事长</w:t>
            </w:r>
            <w:r>
              <w:rPr>
                <w:spacing w:val="8"/>
              </w:rPr>
              <w:t>王某刚、总经理张</w:t>
            </w:r>
            <w:r>
              <w:rPr/>
              <w:t xml:space="preserve"> </w:t>
            </w:r>
            <w:r>
              <w:rPr>
                <w:spacing w:val="9"/>
              </w:rPr>
              <w:t>某宇、财务总监昝某男、董事会秘书谷某秋采取出具警示函的监督管理措施。</w:t>
            </w:r>
          </w:p>
        </w:tc>
      </w:tr>
      <w:tr>
        <w:trPr>
          <w:trHeight w:val="365" w:hRule="atLeast"/>
        </w:trPr>
        <w:tc>
          <w:tcPr>
            <w:shd w:val="clear" w:fill="B8CCE4"/>
            <w:tcW w:w="1214" w:type="dxa"/>
            <w:vAlign w:val="top"/>
          </w:tcPr>
          <w:p>
            <w:pPr>
              <w:pStyle w:val="TableText"/>
              <w:ind w:left="239"/>
              <w:spacing w:before="98" w:line="178" w:lineRule="auto"/>
              <w:rPr/>
            </w:pPr>
            <w:r>
              <w:rPr>
                <w:spacing w:val="3"/>
              </w:rPr>
              <w:t>600655</w:t>
            </w:r>
          </w:p>
        </w:tc>
        <w:tc>
          <w:tcPr>
            <w:shd w:val="clear" w:fill="B8CCE4"/>
            <w:tcW w:w="1343" w:type="dxa"/>
            <w:vAlign w:val="top"/>
          </w:tcPr>
          <w:p>
            <w:pPr>
              <w:pStyle w:val="TableText"/>
              <w:ind w:left="244"/>
              <w:spacing w:before="85" w:line="188" w:lineRule="auto"/>
              <w:rPr/>
            </w:pPr>
            <w:r>
              <w:rPr>
                <w:spacing w:val="8"/>
              </w:rPr>
              <w:t>豫园股份</w:t>
            </w:r>
          </w:p>
        </w:tc>
        <w:tc>
          <w:tcPr>
            <w:shd w:val="clear" w:fill="B8CCE4"/>
            <w:tcW w:w="6715" w:type="dxa"/>
            <w:vAlign w:val="top"/>
          </w:tcPr>
          <w:p>
            <w:pPr>
              <w:pStyle w:val="TableText"/>
              <w:ind w:left="101"/>
              <w:spacing w:before="83" w:line="189" w:lineRule="auto"/>
              <w:rPr/>
            </w:pPr>
            <w:r>
              <w:rPr>
                <w:spacing w:val="8"/>
              </w:rPr>
              <w:t>监事配偶</w:t>
            </w:r>
            <w:r>
              <w:rPr>
                <w:b/>
                <w:bCs/>
                <w:spacing w:val="8"/>
              </w:rPr>
              <w:t>短线交易。</w:t>
            </w:r>
          </w:p>
        </w:tc>
      </w:tr>
      <w:tr>
        <w:trPr>
          <w:trHeight w:val="724" w:hRule="atLeast"/>
        </w:trPr>
        <w:tc>
          <w:tcPr>
            <w:tcW w:w="9272" w:type="dxa"/>
            <w:vAlign w:val="top"/>
            <w:gridSpan w:val="3"/>
          </w:tcPr>
          <w:p>
            <w:pPr>
              <w:pStyle w:val="TableText"/>
              <w:ind w:left="105" w:right="127" w:firstLine="17"/>
              <w:spacing w:before="39" w:line="236" w:lineRule="auto"/>
              <w:rPr/>
            </w:pPr>
            <w:r>
              <w:rPr>
                <w:b/>
                <w:bCs/>
                <w:spacing w:val="9"/>
              </w:rPr>
              <w:t>【行政监管措施</w:t>
            </w:r>
            <w:r>
              <w:rPr>
                <w:spacing w:val="9"/>
              </w:rPr>
              <w:t>】</w:t>
            </w:r>
            <w:r>
              <w:rPr>
                <w:spacing w:val="-33"/>
              </w:rPr>
              <w:t xml:space="preserve"> </w:t>
            </w:r>
            <w:r>
              <w:rPr>
                <w:spacing w:val="9"/>
              </w:rPr>
              <w:t>中国证券监督管理委员会上海监管局决定对监事俞某采取出具</w:t>
            </w:r>
            <w:r>
              <w:rPr>
                <w:spacing w:val="8"/>
              </w:rPr>
              <w:t>警示函的监督管理</w:t>
            </w:r>
            <w:r>
              <w:rPr/>
              <w:t xml:space="preserve"> </w:t>
            </w:r>
            <w:r>
              <w:rPr>
                <w:spacing w:val="5"/>
              </w:rPr>
              <w:t>措施。</w:t>
            </w:r>
          </w:p>
        </w:tc>
      </w:tr>
      <w:tr>
        <w:trPr>
          <w:trHeight w:val="364" w:hRule="atLeast"/>
        </w:trPr>
        <w:tc>
          <w:tcPr>
            <w:shd w:val="clear" w:fill="B8CCE4"/>
            <w:tcW w:w="1214" w:type="dxa"/>
            <w:vAlign w:val="top"/>
          </w:tcPr>
          <w:p>
            <w:pPr>
              <w:pStyle w:val="TableText"/>
              <w:ind w:left="239"/>
              <w:spacing w:before="99" w:line="178" w:lineRule="auto"/>
              <w:rPr/>
            </w:pPr>
            <w:r>
              <w:rPr>
                <w:spacing w:val="3"/>
              </w:rPr>
              <w:t>600655</w:t>
            </w:r>
          </w:p>
        </w:tc>
        <w:tc>
          <w:tcPr>
            <w:shd w:val="clear" w:fill="B8CCE4"/>
            <w:tcW w:w="1343" w:type="dxa"/>
            <w:vAlign w:val="top"/>
          </w:tcPr>
          <w:p>
            <w:pPr>
              <w:pStyle w:val="TableText"/>
              <w:ind w:left="244"/>
              <w:spacing w:before="86" w:line="187" w:lineRule="auto"/>
              <w:rPr/>
            </w:pPr>
            <w:r>
              <w:rPr>
                <w:spacing w:val="8"/>
              </w:rPr>
              <w:t>豫园股份</w:t>
            </w:r>
          </w:p>
        </w:tc>
        <w:tc>
          <w:tcPr>
            <w:shd w:val="clear" w:fill="B8CCE4"/>
            <w:tcW w:w="6715" w:type="dxa"/>
            <w:vAlign w:val="top"/>
          </w:tcPr>
          <w:p>
            <w:pPr>
              <w:pStyle w:val="TableText"/>
              <w:ind w:left="100"/>
              <w:spacing w:before="85" w:line="188" w:lineRule="auto"/>
              <w:rPr/>
            </w:pPr>
            <w:r>
              <w:rPr>
                <w:spacing w:val="8"/>
              </w:rPr>
              <w:t>执行总裁配偶</w:t>
            </w:r>
            <w:r>
              <w:rPr>
                <w:b/>
                <w:bCs/>
                <w:spacing w:val="8"/>
              </w:rPr>
              <w:t>短线交易</w:t>
            </w:r>
            <w:r>
              <w:rPr>
                <w:spacing w:val="8"/>
              </w:rPr>
              <w:t>。</w:t>
            </w:r>
          </w:p>
        </w:tc>
      </w:tr>
      <w:tr>
        <w:trPr>
          <w:trHeight w:val="725" w:hRule="atLeast"/>
        </w:trPr>
        <w:tc>
          <w:tcPr>
            <w:tcW w:w="9272" w:type="dxa"/>
            <w:vAlign w:val="top"/>
            <w:gridSpan w:val="3"/>
          </w:tcPr>
          <w:p>
            <w:pPr>
              <w:pStyle w:val="TableText"/>
              <w:ind w:left="106" w:right="106" w:firstLine="16"/>
              <w:spacing w:before="40" w:line="236" w:lineRule="auto"/>
              <w:rPr/>
            </w:pPr>
            <w:r>
              <w:rPr>
                <w:b/>
                <w:bCs/>
                <w:spacing w:val="9"/>
              </w:rPr>
              <w:t>【行政监管措施】</w:t>
            </w:r>
            <w:r>
              <w:rPr>
                <w:b/>
                <w:bCs/>
                <w:spacing w:val="-20"/>
              </w:rPr>
              <w:t xml:space="preserve"> </w:t>
            </w:r>
            <w:r>
              <w:rPr>
                <w:spacing w:val="9"/>
              </w:rPr>
              <w:t>中国证券监督管理委员会上海监管局决定对执行总裁冉某采取出具警示函的监督</w:t>
            </w:r>
            <w:r>
              <w:rPr/>
              <w:t xml:space="preserve"> </w:t>
            </w:r>
            <w:r>
              <w:rPr>
                <w:spacing w:val="6"/>
              </w:rPr>
              <w:t>管理措施。</w:t>
            </w:r>
          </w:p>
        </w:tc>
      </w:tr>
      <w:tr>
        <w:trPr>
          <w:trHeight w:val="364" w:hRule="atLeast"/>
        </w:trPr>
        <w:tc>
          <w:tcPr>
            <w:shd w:val="clear" w:fill="B8CCE4"/>
            <w:tcW w:w="1214" w:type="dxa"/>
            <w:vAlign w:val="top"/>
          </w:tcPr>
          <w:p>
            <w:pPr>
              <w:pStyle w:val="TableText"/>
              <w:ind w:left="239"/>
              <w:spacing w:before="99" w:line="178" w:lineRule="auto"/>
              <w:rPr/>
            </w:pPr>
            <w:r>
              <w:rPr>
                <w:spacing w:val="3"/>
              </w:rPr>
              <w:t>688071</w:t>
            </w:r>
          </w:p>
        </w:tc>
        <w:tc>
          <w:tcPr>
            <w:shd w:val="clear" w:fill="B8CCE4"/>
            <w:tcW w:w="1343" w:type="dxa"/>
            <w:vAlign w:val="top"/>
          </w:tcPr>
          <w:p>
            <w:pPr>
              <w:pStyle w:val="TableText"/>
              <w:ind w:left="244"/>
              <w:spacing w:before="85" w:line="188" w:lineRule="auto"/>
              <w:rPr/>
            </w:pPr>
            <w:r>
              <w:rPr>
                <w:spacing w:val="8"/>
              </w:rPr>
              <w:t>华依科技</w:t>
            </w:r>
          </w:p>
        </w:tc>
        <w:tc>
          <w:tcPr>
            <w:shd w:val="clear" w:fill="B8CCE4"/>
            <w:tcW w:w="6715" w:type="dxa"/>
            <w:vAlign w:val="top"/>
          </w:tcPr>
          <w:p>
            <w:pPr>
              <w:pStyle w:val="TableText"/>
              <w:ind w:left="101"/>
              <w:spacing w:before="85" w:line="188" w:lineRule="auto"/>
              <w:rPr/>
            </w:pPr>
            <w:r>
              <w:rPr>
                <w:b/>
                <w:bCs/>
                <w:spacing w:val="8"/>
              </w:rPr>
              <w:t>业绩预告</w:t>
            </w:r>
            <w:r>
              <w:rPr>
                <w:spacing w:val="8"/>
              </w:rPr>
              <w:t>不准确。</w:t>
            </w:r>
          </w:p>
        </w:tc>
      </w:tr>
      <w:tr>
        <w:trPr>
          <w:trHeight w:val="724" w:hRule="atLeast"/>
        </w:trPr>
        <w:tc>
          <w:tcPr>
            <w:tcW w:w="9272" w:type="dxa"/>
            <w:vAlign w:val="top"/>
            <w:gridSpan w:val="3"/>
          </w:tcPr>
          <w:p>
            <w:pPr>
              <w:pStyle w:val="TableText"/>
              <w:ind w:left="104" w:right="125" w:firstLine="18"/>
              <w:spacing w:before="41" w:line="235" w:lineRule="auto"/>
              <w:rPr/>
            </w:pPr>
            <w:r>
              <w:rPr>
                <w:b/>
                <w:bCs/>
                <w:spacing w:val="9"/>
              </w:rPr>
              <w:t>【行政监管措施】</w:t>
            </w:r>
            <w:r>
              <w:rPr>
                <w:b/>
                <w:bCs/>
                <w:spacing w:val="-31"/>
              </w:rPr>
              <w:t xml:space="preserve"> </w:t>
            </w:r>
            <w:r>
              <w:rPr>
                <w:spacing w:val="9"/>
              </w:rPr>
              <w:t>中国证券监督管理委员会上海监管局决定对华依科技、董事长</w:t>
            </w:r>
            <w:r>
              <w:rPr>
                <w:spacing w:val="8"/>
              </w:rPr>
              <w:t>兼总经理励某、财</w:t>
            </w:r>
            <w:r>
              <w:rPr/>
              <w:t xml:space="preserve"> </w:t>
            </w:r>
            <w:r>
              <w:rPr>
                <w:spacing w:val="9"/>
              </w:rPr>
              <w:t>务总监潘某、董事会秘书沈某枫采取出具警示函的行政监管措施。</w:t>
            </w:r>
          </w:p>
        </w:tc>
      </w:tr>
      <w:tr>
        <w:trPr>
          <w:trHeight w:val="365" w:hRule="atLeast"/>
        </w:trPr>
        <w:tc>
          <w:tcPr>
            <w:shd w:val="clear" w:fill="B8CCE4"/>
            <w:tcW w:w="1214" w:type="dxa"/>
            <w:vAlign w:val="top"/>
          </w:tcPr>
          <w:p>
            <w:pPr>
              <w:pStyle w:val="TableText"/>
              <w:ind w:left="242"/>
              <w:spacing w:before="101" w:line="177" w:lineRule="auto"/>
              <w:rPr/>
            </w:pPr>
            <w:r>
              <w:rPr>
                <w:spacing w:val="3"/>
              </w:rPr>
              <w:t>300167</w:t>
            </w:r>
          </w:p>
        </w:tc>
        <w:tc>
          <w:tcPr>
            <w:shd w:val="clear" w:fill="B8CCE4"/>
            <w:tcW w:w="1343" w:type="dxa"/>
            <w:vAlign w:val="top"/>
          </w:tcPr>
          <w:p>
            <w:pPr>
              <w:pStyle w:val="TableText"/>
              <w:ind w:left="262"/>
              <w:spacing w:before="89" w:line="186" w:lineRule="auto"/>
              <w:rPr/>
            </w:pPr>
            <w:r>
              <w:rPr>
                <w:spacing w:val="4"/>
              </w:rPr>
              <w:t>*</w:t>
            </w:r>
            <w:r>
              <w:rPr/>
              <w:t>ST</w:t>
            </w:r>
            <w:r>
              <w:rPr>
                <w:spacing w:val="4"/>
              </w:rPr>
              <w:t xml:space="preserve"> 迪威</w:t>
            </w:r>
          </w:p>
        </w:tc>
        <w:tc>
          <w:tcPr>
            <w:shd w:val="clear" w:fill="B8CCE4"/>
            <w:tcW w:w="6715" w:type="dxa"/>
            <w:vAlign w:val="top"/>
          </w:tcPr>
          <w:p>
            <w:pPr>
              <w:pStyle w:val="TableText"/>
              <w:ind w:left="109"/>
              <w:spacing w:before="86" w:line="188" w:lineRule="auto"/>
              <w:rPr/>
            </w:pPr>
            <w:r>
              <w:rPr>
                <w:spacing w:val="7"/>
              </w:rPr>
              <w:t>2023 年度</w:t>
            </w:r>
            <w:r>
              <w:rPr>
                <w:b/>
                <w:bCs/>
                <w:spacing w:val="7"/>
              </w:rPr>
              <w:t>业绩预告</w:t>
            </w:r>
            <w:r>
              <w:rPr>
                <w:spacing w:val="7"/>
              </w:rPr>
              <w:t>披露的</w:t>
            </w:r>
            <w:r>
              <w:rPr>
                <w:b/>
                <w:bCs/>
                <w:spacing w:val="7"/>
              </w:rPr>
              <w:t>财务数据</w:t>
            </w:r>
            <w:r>
              <w:rPr>
                <w:spacing w:val="7"/>
              </w:rPr>
              <w:t>不准确。</w:t>
            </w:r>
          </w:p>
        </w:tc>
      </w:tr>
      <w:tr>
        <w:trPr>
          <w:trHeight w:val="724" w:hRule="atLeast"/>
        </w:trPr>
        <w:tc>
          <w:tcPr>
            <w:tcW w:w="9272" w:type="dxa"/>
            <w:vAlign w:val="top"/>
            <w:gridSpan w:val="3"/>
          </w:tcPr>
          <w:p>
            <w:pPr>
              <w:pStyle w:val="TableText"/>
              <w:ind w:left="104" w:right="125" w:firstLine="18"/>
              <w:spacing w:before="41" w:line="235" w:lineRule="auto"/>
              <w:rPr/>
            </w:pPr>
            <w:r>
              <w:rPr>
                <w:b/>
                <w:bCs/>
                <w:spacing w:val="9"/>
              </w:rPr>
              <w:t>【行政监管措施】</w:t>
            </w:r>
            <w:r>
              <w:rPr>
                <w:b/>
                <w:bCs/>
                <w:spacing w:val="-31"/>
              </w:rPr>
              <w:t xml:space="preserve"> </w:t>
            </w:r>
            <w:r>
              <w:rPr>
                <w:spacing w:val="9"/>
              </w:rPr>
              <w:t>中国证券监督管理委员会深圳监管局决定对深圳市迪威迅股份</w:t>
            </w:r>
            <w:r>
              <w:rPr>
                <w:spacing w:val="8"/>
              </w:rPr>
              <w:t>有限公司、董事长</w:t>
            </w:r>
            <w:r>
              <w:rPr/>
              <w:t xml:space="preserve"> </w:t>
            </w:r>
            <w:r>
              <w:rPr>
                <w:spacing w:val="9"/>
              </w:rPr>
              <w:t>季某、财务负责人季某采取出具警示函的监管措施。</w:t>
            </w:r>
          </w:p>
        </w:tc>
      </w:tr>
      <w:tr>
        <w:trPr>
          <w:trHeight w:val="434" w:hRule="atLeast"/>
        </w:trPr>
        <w:tc>
          <w:tcPr>
            <w:shd w:val="clear" w:fill="B8CCE4"/>
            <w:tcW w:w="1214" w:type="dxa"/>
            <w:vAlign w:val="top"/>
          </w:tcPr>
          <w:p>
            <w:pPr>
              <w:pStyle w:val="TableText"/>
              <w:ind w:left="239"/>
              <w:spacing w:before="135" w:line="179" w:lineRule="auto"/>
              <w:rPr/>
            </w:pPr>
            <w:r>
              <w:rPr>
                <w:spacing w:val="3"/>
              </w:rPr>
              <w:t>688416</w:t>
            </w:r>
          </w:p>
        </w:tc>
        <w:tc>
          <w:tcPr>
            <w:shd w:val="clear" w:fill="B8CCE4"/>
            <w:tcW w:w="1343" w:type="dxa"/>
            <w:vAlign w:val="top"/>
          </w:tcPr>
          <w:p>
            <w:pPr>
              <w:pStyle w:val="TableText"/>
              <w:ind w:left="243"/>
              <w:spacing w:before="125" w:line="187" w:lineRule="auto"/>
              <w:rPr/>
            </w:pPr>
            <w:r>
              <w:rPr>
                <w:spacing w:val="8"/>
              </w:rPr>
              <w:t>恒烁股份</w:t>
            </w:r>
          </w:p>
        </w:tc>
        <w:tc>
          <w:tcPr>
            <w:shd w:val="clear" w:fill="B8CCE4"/>
            <w:tcW w:w="6715" w:type="dxa"/>
            <w:vAlign w:val="top"/>
          </w:tcPr>
          <w:p>
            <w:pPr>
              <w:pStyle w:val="TableText"/>
              <w:ind w:left="102"/>
              <w:spacing w:before="122" w:line="189" w:lineRule="auto"/>
              <w:rPr/>
            </w:pPr>
            <w:r>
              <w:rPr>
                <w:spacing w:val="7"/>
              </w:rPr>
              <w:t>前期</w:t>
            </w:r>
            <w:r>
              <w:rPr>
                <w:b/>
                <w:bCs/>
                <w:spacing w:val="7"/>
              </w:rPr>
              <w:t>会计差错。</w:t>
            </w:r>
          </w:p>
        </w:tc>
      </w:tr>
      <w:tr>
        <w:trPr>
          <w:trHeight w:val="724" w:hRule="atLeast"/>
        </w:trPr>
        <w:tc>
          <w:tcPr>
            <w:tcW w:w="9272" w:type="dxa"/>
            <w:vAlign w:val="top"/>
            <w:gridSpan w:val="3"/>
          </w:tcPr>
          <w:p>
            <w:pPr>
              <w:pStyle w:val="TableText"/>
              <w:ind w:left="105" w:right="125" w:firstLine="17"/>
              <w:spacing w:before="44" w:line="234" w:lineRule="auto"/>
              <w:rPr/>
            </w:pPr>
            <w:r>
              <w:rPr>
                <w:b/>
                <w:bCs/>
                <w:spacing w:val="6"/>
              </w:rPr>
              <w:t>【行政监管措施】</w:t>
            </w:r>
            <w:r>
              <w:rPr>
                <w:b/>
                <w:bCs/>
                <w:spacing w:val="-32"/>
              </w:rPr>
              <w:t xml:space="preserve"> </w:t>
            </w:r>
            <w:r>
              <w:rPr>
                <w:spacing w:val="6"/>
              </w:rPr>
              <w:t>中国证券监督管理委员会安徽监管局决定对恒烁半导体 （合肥</w:t>
            </w:r>
            <w:r>
              <w:rPr>
                <w:spacing w:val="5"/>
              </w:rPr>
              <w:t>） 股份有限公司采</w:t>
            </w:r>
            <w:r>
              <w:rPr/>
              <w:t xml:space="preserve"> </w:t>
            </w:r>
            <w:r>
              <w:rPr>
                <w:spacing w:val="7"/>
              </w:rPr>
              <w:t>取出具警示函的行政监管措施， 并记入证券期货市场诚信档案。</w:t>
            </w:r>
          </w:p>
        </w:tc>
      </w:tr>
      <w:tr>
        <w:trPr>
          <w:trHeight w:val="365" w:hRule="atLeast"/>
        </w:trPr>
        <w:tc>
          <w:tcPr>
            <w:shd w:val="clear" w:fill="B8CCE4"/>
            <w:tcW w:w="1214" w:type="dxa"/>
            <w:vAlign w:val="top"/>
          </w:tcPr>
          <w:p>
            <w:pPr>
              <w:pStyle w:val="TableText"/>
              <w:ind w:left="239"/>
              <w:spacing w:before="104" w:line="175" w:lineRule="auto"/>
              <w:rPr/>
            </w:pPr>
            <w:r>
              <w:rPr>
                <w:spacing w:val="3"/>
              </w:rPr>
              <w:t>688027</w:t>
            </w:r>
          </w:p>
        </w:tc>
        <w:tc>
          <w:tcPr>
            <w:shd w:val="clear" w:fill="B8CCE4"/>
            <w:tcW w:w="1343" w:type="dxa"/>
            <w:vAlign w:val="top"/>
          </w:tcPr>
          <w:p>
            <w:pPr>
              <w:pStyle w:val="TableText"/>
              <w:ind w:left="255"/>
              <w:spacing w:before="99" w:line="179" w:lineRule="auto"/>
              <w:rPr/>
            </w:pPr>
            <w:r>
              <w:rPr>
                <w:spacing w:val="5"/>
              </w:rPr>
              <w:t>国盾量子</w:t>
            </w:r>
          </w:p>
        </w:tc>
        <w:tc>
          <w:tcPr>
            <w:shd w:val="clear" w:fill="B8CCE4"/>
            <w:tcW w:w="6715" w:type="dxa"/>
            <w:vAlign w:val="top"/>
          </w:tcPr>
          <w:p>
            <w:pPr>
              <w:pStyle w:val="TableText"/>
              <w:ind w:left="99"/>
              <w:spacing w:before="90" w:line="185" w:lineRule="auto"/>
              <w:rPr/>
            </w:pPr>
            <w:r>
              <w:rPr>
                <w:spacing w:val="7"/>
              </w:rPr>
              <w:t>违反</w:t>
            </w:r>
            <w:r>
              <w:rPr>
                <w:b/>
                <w:bCs/>
                <w:spacing w:val="7"/>
              </w:rPr>
              <w:t>减持承诺。</w:t>
            </w:r>
          </w:p>
        </w:tc>
      </w:tr>
      <w:tr>
        <w:trPr>
          <w:trHeight w:val="724" w:hRule="atLeast"/>
        </w:trPr>
        <w:tc>
          <w:tcPr>
            <w:tcW w:w="9272" w:type="dxa"/>
            <w:vAlign w:val="top"/>
            <w:gridSpan w:val="3"/>
          </w:tcPr>
          <w:p>
            <w:pPr>
              <w:pStyle w:val="TableText"/>
              <w:ind w:left="106" w:right="127" w:firstLine="16"/>
              <w:spacing w:before="44" w:line="234" w:lineRule="auto"/>
              <w:rPr/>
            </w:pPr>
            <w:r>
              <w:rPr>
                <w:b/>
                <w:bCs/>
                <w:spacing w:val="9"/>
              </w:rPr>
              <w:t>【行政监管措施</w:t>
            </w:r>
            <w:r>
              <w:rPr>
                <w:spacing w:val="9"/>
              </w:rPr>
              <w:t>】</w:t>
            </w:r>
            <w:r>
              <w:rPr>
                <w:spacing w:val="-33"/>
              </w:rPr>
              <w:t xml:space="preserve"> </w:t>
            </w:r>
            <w:r>
              <w:rPr>
                <w:spacing w:val="9"/>
              </w:rPr>
              <w:t>中国证券监督管理委员会安徽监管局决定对股东柳某伟采取出</w:t>
            </w:r>
            <w:r>
              <w:rPr>
                <w:spacing w:val="8"/>
              </w:rPr>
              <w:t>具警示函的行政监</w:t>
            </w:r>
            <w:r>
              <w:rPr/>
              <w:t xml:space="preserve"> </w:t>
            </w:r>
            <w:r>
              <w:rPr>
                <w:spacing w:val="5"/>
              </w:rPr>
              <w:t>管措施， 并记入证券期货市场诚信档案。</w:t>
            </w:r>
          </w:p>
        </w:tc>
      </w:tr>
      <w:tr>
        <w:trPr>
          <w:trHeight w:val="364" w:hRule="atLeast"/>
        </w:trPr>
        <w:tc>
          <w:tcPr>
            <w:shd w:val="clear" w:fill="B8CCE4"/>
            <w:tcW w:w="1214" w:type="dxa"/>
            <w:vAlign w:val="top"/>
          </w:tcPr>
          <w:p>
            <w:pPr>
              <w:pStyle w:val="TableText"/>
              <w:ind w:left="239"/>
              <w:spacing w:before="105" w:line="174" w:lineRule="auto"/>
              <w:rPr/>
            </w:pPr>
            <w:r>
              <w:rPr>
                <w:spacing w:val="3"/>
              </w:rPr>
              <w:t>688416</w:t>
            </w:r>
          </w:p>
        </w:tc>
        <w:tc>
          <w:tcPr>
            <w:shd w:val="clear" w:fill="B8CCE4"/>
            <w:tcW w:w="1343" w:type="dxa"/>
            <w:vAlign w:val="top"/>
          </w:tcPr>
          <w:p>
            <w:pPr>
              <w:pStyle w:val="TableText"/>
              <w:ind w:left="243"/>
              <w:spacing w:before="93" w:line="182" w:lineRule="auto"/>
              <w:rPr/>
            </w:pPr>
            <w:r>
              <w:rPr>
                <w:spacing w:val="8"/>
              </w:rPr>
              <w:t>恒烁股份</w:t>
            </w:r>
          </w:p>
        </w:tc>
        <w:tc>
          <w:tcPr>
            <w:shd w:val="clear" w:fill="B8CCE4"/>
            <w:tcW w:w="6715" w:type="dxa"/>
            <w:vAlign w:val="top"/>
          </w:tcPr>
          <w:p>
            <w:pPr>
              <w:pStyle w:val="TableText"/>
              <w:ind w:left="102"/>
              <w:spacing w:before="90" w:line="184" w:lineRule="auto"/>
              <w:rPr/>
            </w:pPr>
            <w:r>
              <w:rPr>
                <w:spacing w:val="7"/>
              </w:rPr>
              <w:t>前期</w:t>
            </w:r>
            <w:r>
              <w:rPr>
                <w:b/>
                <w:bCs/>
                <w:spacing w:val="7"/>
              </w:rPr>
              <w:t>会计差错。</w:t>
            </w:r>
          </w:p>
        </w:tc>
      </w:tr>
      <w:tr>
        <w:trPr>
          <w:trHeight w:val="725" w:hRule="atLeast"/>
        </w:trPr>
        <w:tc>
          <w:tcPr>
            <w:tcW w:w="9272" w:type="dxa"/>
            <w:vAlign w:val="top"/>
            <w:gridSpan w:val="3"/>
          </w:tcPr>
          <w:p>
            <w:pPr>
              <w:pStyle w:val="TableText"/>
              <w:ind w:left="106" w:right="106" w:firstLine="16"/>
              <w:spacing w:before="48" w:line="233" w:lineRule="auto"/>
              <w:rPr/>
            </w:pPr>
            <w:r>
              <w:rPr>
                <w:b/>
                <w:bCs/>
                <w:spacing w:val="9"/>
              </w:rPr>
              <w:t>【行政监管措施】</w:t>
            </w:r>
            <w:r>
              <w:rPr>
                <w:b/>
                <w:bCs/>
                <w:spacing w:val="-20"/>
              </w:rPr>
              <w:t xml:space="preserve"> </w:t>
            </w:r>
            <w:r>
              <w:rPr>
                <w:spacing w:val="9"/>
              </w:rPr>
              <w:t>中国证券监督管理委员会安徽监管局决定对高管唐某红采取出具警示函的行政监</w:t>
            </w:r>
            <w:r>
              <w:rPr/>
              <w:t xml:space="preserve"> </w:t>
            </w:r>
            <w:r>
              <w:rPr>
                <w:spacing w:val="5"/>
              </w:rPr>
              <w:t>管措施， 并记入证券期货市场诚信档案。</w:t>
            </w:r>
          </w:p>
        </w:tc>
      </w:tr>
      <w:tr>
        <w:trPr>
          <w:trHeight w:val="364" w:hRule="atLeast"/>
        </w:trPr>
        <w:tc>
          <w:tcPr>
            <w:shd w:val="clear" w:fill="B8CCE4"/>
            <w:tcW w:w="1214" w:type="dxa"/>
            <w:vAlign w:val="top"/>
          </w:tcPr>
          <w:p>
            <w:pPr>
              <w:pStyle w:val="TableText"/>
              <w:ind w:left="239"/>
              <w:spacing w:before="103" w:line="175" w:lineRule="auto"/>
              <w:rPr/>
            </w:pPr>
            <w:r>
              <w:rPr>
                <w:spacing w:val="3"/>
              </w:rPr>
              <w:t>688416</w:t>
            </w:r>
          </w:p>
        </w:tc>
        <w:tc>
          <w:tcPr>
            <w:shd w:val="clear" w:fill="B8CCE4"/>
            <w:tcW w:w="1343" w:type="dxa"/>
            <w:vAlign w:val="top"/>
          </w:tcPr>
          <w:p>
            <w:pPr>
              <w:pStyle w:val="TableText"/>
              <w:ind w:left="243"/>
              <w:spacing w:before="92" w:line="183" w:lineRule="auto"/>
              <w:rPr/>
            </w:pPr>
            <w:r>
              <w:rPr>
                <w:spacing w:val="8"/>
              </w:rPr>
              <w:t>恒烁股份</w:t>
            </w:r>
          </w:p>
        </w:tc>
        <w:tc>
          <w:tcPr>
            <w:shd w:val="clear" w:fill="B8CCE4"/>
            <w:tcW w:w="6715" w:type="dxa"/>
            <w:vAlign w:val="top"/>
          </w:tcPr>
          <w:p>
            <w:pPr>
              <w:pStyle w:val="TableText"/>
              <w:ind w:left="102"/>
              <w:spacing w:before="89" w:line="185" w:lineRule="auto"/>
              <w:rPr/>
            </w:pPr>
            <w:r>
              <w:rPr>
                <w:spacing w:val="7"/>
              </w:rPr>
              <w:t>前期</w:t>
            </w:r>
            <w:r>
              <w:rPr>
                <w:b/>
                <w:bCs/>
                <w:spacing w:val="7"/>
              </w:rPr>
              <w:t>会计差错。</w:t>
            </w:r>
          </w:p>
        </w:tc>
      </w:tr>
      <w:tr>
        <w:trPr>
          <w:trHeight w:val="724" w:hRule="atLeast"/>
        </w:trPr>
        <w:tc>
          <w:tcPr>
            <w:tcW w:w="9272" w:type="dxa"/>
            <w:vAlign w:val="top"/>
            <w:gridSpan w:val="3"/>
          </w:tcPr>
          <w:p>
            <w:pPr>
              <w:pStyle w:val="TableText"/>
              <w:ind w:left="114" w:right="197" w:firstLine="8"/>
              <w:spacing w:before="47" w:line="233" w:lineRule="auto"/>
              <w:rPr/>
            </w:pPr>
            <w:r>
              <w:rPr>
                <w:b/>
                <w:bCs/>
                <w:spacing w:val="9"/>
              </w:rPr>
              <w:t>【行政监管措施】</w:t>
            </w:r>
            <w:r>
              <w:rPr>
                <w:b/>
                <w:bCs/>
                <w:spacing w:val="-32"/>
              </w:rPr>
              <w:t xml:space="preserve"> </w:t>
            </w:r>
            <w:r>
              <w:rPr>
                <w:spacing w:val="9"/>
              </w:rPr>
              <w:t>中国证券监督管理委员会安徽监管局决定对董事长</w:t>
            </w:r>
            <w:r>
              <w:rPr/>
              <w:t>XIANG</w:t>
            </w:r>
            <w:r>
              <w:rPr>
                <w:spacing w:val="9"/>
              </w:rPr>
              <w:t>**</w:t>
            </w:r>
            <w:r>
              <w:rPr>
                <w:spacing w:val="24"/>
                <w:w w:val="101"/>
              </w:rPr>
              <w:t xml:space="preserve"> </w:t>
            </w:r>
            <w:r>
              <w:rPr/>
              <w:t>LU</w:t>
            </w:r>
            <w:r>
              <w:rPr>
                <w:spacing w:val="9"/>
              </w:rPr>
              <w:t>采取出具警示函</w:t>
            </w:r>
            <w:r>
              <w:rPr/>
              <w:t xml:space="preserve"> </w:t>
            </w:r>
            <w:r>
              <w:rPr>
                <w:spacing w:val="6"/>
              </w:rPr>
              <w:t>的行政监管措施， 并记入证券期货市场诚信档</w:t>
            </w:r>
            <w:r>
              <w:rPr>
                <w:spacing w:val="5"/>
              </w:rPr>
              <w:t>案。</w:t>
            </w:r>
          </w:p>
        </w:tc>
      </w:tr>
      <w:tr>
        <w:trPr>
          <w:trHeight w:val="365" w:hRule="atLeast"/>
        </w:trPr>
        <w:tc>
          <w:tcPr>
            <w:shd w:val="clear" w:fill="B8CCE4"/>
            <w:tcW w:w="1214" w:type="dxa"/>
            <w:vAlign w:val="top"/>
          </w:tcPr>
          <w:p>
            <w:pPr>
              <w:pStyle w:val="TableText"/>
              <w:ind w:left="236"/>
              <w:spacing w:before="109" w:line="172" w:lineRule="auto"/>
              <w:rPr/>
            </w:pPr>
            <w:r>
              <w:rPr>
                <w:spacing w:val="3"/>
              </w:rPr>
              <w:t>002229</w:t>
            </w:r>
          </w:p>
        </w:tc>
        <w:tc>
          <w:tcPr>
            <w:shd w:val="clear" w:fill="B8CCE4"/>
            <w:tcW w:w="1343" w:type="dxa"/>
            <w:vAlign w:val="top"/>
          </w:tcPr>
          <w:p>
            <w:pPr>
              <w:pStyle w:val="TableText"/>
              <w:ind w:left="244"/>
              <w:spacing w:before="94" w:line="182" w:lineRule="auto"/>
              <w:rPr/>
            </w:pPr>
            <w:r>
              <w:rPr>
                <w:spacing w:val="8"/>
              </w:rPr>
              <w:t>鸿博股份</w:t>
            </w:r>
          </w:p>
        </w:tc>
        <w:tc>
          <w:tcPr>
            <w:shd w:val="clear" w:fill="B8CCE4"/>
            <w:tcW w:w="6715" w:type="dxa"/>
            <w:vAlign w:val="top"/>
          </w:tcPr>
          <w:p>
            <w:pPr>
              <w:pStyle w:val="TableText"/>
              <w:ind w:left="100"/>
              <w:spacing w:before="93" w:line="183" w:lineRule="auto"/>
              <w:rPr/>
            </w:pPr>
            <w:r>
              <w:rPr>
                <w:spacing w:val="9"/>
              </w:rPr>
              <w:t>控股股东股份存在</w:t>
            </w:r>
            <w:r>
              <w:rPr>
                <w:b/>
                <w:bCs/>
                <w:spacing w:val="9"/>
              </w:rPr>
              <w:t>被强制过户风险</w:t>
            </w:r>
            <w:r>
              <w:rPr>
                <w:spacing w:val="9"/>
              </w:rPr>
              <w:t>未及时履行信息披露义务。</w:t>
            </w:r>
          </w:p>
        </w:tc>
      </w:tr>
      <w:tr>
        <w:trPr>
          <w:trHeight w:val="1083" w:hRule="atLeast"/>
        </w:trPr>
        <w:tc>
          <w:tcPr>
            <w:tcW w:w="9272" w:type="dxa"/>
            <w:vAlign w:val="top"/>
            <w:gridSpan w:val="3"/>
          </w:tcPr>
          <w:p>
            <w:pPr>
              <w:pStyle w:val="TableText"/>
              <w:ind w:left="105" w:right="127" w:firstLine="17"/>
              <w:spacing w:before="49" w:line="248" w:lineRule="auto"/>
              <w:rPr/>
            </w:pPr>
            <w:r>
              <w:rPr>
                <w:b/>
                <w:bCs/>
                <w:spacing w:val="8"/>
              </w:rPr>
              <w:t>【行政监管措施】</w:t>
            </w:r>
            <w:r>
              <w:rPr>
                <w:b/>
                <w:bCs/>
                <w:spacing w:val="-21"/>
              </w:rPr>
              <w:t xml:space="preserve"> </w:t>
            </w:r>
            <w:r>
              <w:rPr>
                <w:spacing w:val="8"/>
              </w:rPr>
              <w:t>中国证券监督管理委员会福建监管局决定对鸿博股份、</w:t>
            </w:r>
            <w:r>
              <w:rPr>
                <w:spacing w:val="-37"/>
              </w:rPr>
              <w:t xml:space="preserve"> </w:t>
            </w:r>
            <w:r>
              <w:rPr>
                <w:spacing w:val="8"/>
              </w:rPr>
              <w:t>时任董事长倪某、总经理</w:t>
            </w:r>
            <w:r>
              <w:rPr/>
              <w:t xml:space="preserve"> </w:t>
            </w:r>
            <w:r>
              <w:rPr>
                <w:spacing w:val="8"/>
              </w:rPr>
              <w:t>黎某雷、董事会秘书王某彬采取出具警示函的监督管理措施， 并记入证券期货市场诚信档案数据</w:t>
            </w:r>
          </w:p>
          <w:p>
            <w:pPr>
              <w:pStyle w:val="TableText"/>
              <w:ind w:left="104"/>
              <w:spacing w:before="53" w:line="183" w:lineRule="auto"/>
              <w:rPr/>
            </w:pPr>
            <w:r>
              <w:rPr>
                <w:spacing w:val="3"/>
              </w:rPr>
              <w:t>库。</w:t>
            </w:r>
          </w:p>
        </w:tc>
      </w:tr>
      <w:tr>
        <w:trPr>
          <w:trHeight w:val="725" w:hRule="atLeast"/>
        </w:trPr>
        <w:tc>
          <w:tcPr>
            <w:shd w:val="clear" w:fill="B8CCE4"/>
            <w:tcW w:w="1214" w:type="dxa"/>
            <w:vAlign w:val="top"/>
          </w:tcPr>
          <w:p>
            <w:pPr>
              <w:pStyle w:val="TableText"/>
              <w:ind w:left="239"/>
              <w:spacing w:before="288" w:line="178" w:lineRule="auto"/>
              <w:rPr/>
            </w:pPr>
            <w:r>
              <w:rPr>
                <w:spacing w:val="3"/>
              </w:rPr>
              <w:t>688086</w:t>
            </w:r>
          </w:p>
        </w:tc>
        <w:tc>
          <w:tcPr>
            <w:shd w:val="clear" w:fill="B8CCE4"/>
            <w:tcW w:w="1343" w:type="dxa"/>
            <w:vAlign w:val="top"/>
          </w:tcPr>
          <w:p>
            <w:pPr>
              <w:pStyle w:val="TableText"/>
              <w:ind w:left="242"/>
              <w:spacing w:before="272" w:line="190" w:lineRule="auto"/>
              <w:rPr/>
            </w:pPr>
            <w:r>
              <w:rPr>
                <w:spacing w:val="8"/>
              </w:rPr>
              <w:t>退市紫晶</w:t>
            </w:r>
          </w:p>
        </w:tc>
        <w:tc>
          <w:tcPr>
            <w:shd w:val="clear" w:fill="B8CCE4"/>
            <w:tcW w:w="6715" w:type="dxa"/>
            <w:vAlign w:val="top"/>
          </w:tcPr>
          <w:p>
            <w:pPr>
              <w:pStyle w:val="TableText"/>
              <w:ind w:left="99" w:right="103" w:firstLine="3"/>
              <w:spacing w:before="57" w:line="230" w:lineRule="auto"/>
              <w:rPr/>
            </w:pPr>
            <w:r>
              <w:rPr>
                <w:spacing w:val="12"/>
              </w:rPr>
              <w:t>立信会计师事务所 （特殊普通合伙） 执业的广</w:t>
            </w:r>
            <w:r>
              <w:rPr>
                <w:spacing w:val="11"/>
              </w:rPr>
              <w:t>东紫晶信息存储技术股</w:t>
            </w:r>
            <w:r>
              <w:rPr/>
              <w:t xml:space="preserve"> </w:t>
            </w:r>
            <w:r>
              <w:rPr>
                <w:spacing w:val="7"/>
              </w:rPr>
              <w:t>份有限公司 2020 年度财务报表审计项目存在问题。</w:t>
            </w:r>
          </w:p>
        </w:tc>
      </w:tr>
      <w:tr>
        <w:trPr>
          <w:trHeight w:val="724" w:hRule="atLeast"/>
        </w:trPr>
        <w:tc>
          <w:tcPr>
            <w:tcW w:w="9272" w:type="dxa"/>
            <w:vAlign w:val="top"/>
            <w:gridSpan w:val="3"/>
          </w:tcPr>
          <w:p>
            <w:pPr>
              <w:pStyle w:val="TableText"/>
              <w:ind w:left="107" w:right="125" w:firstLine="15"/>
              <w:spacing w:before="50" w:line="232" w:lineRule="auto"/>
              <w:rPr/>
            </w:pPr>
            <w:r>
              <w:rPr>
                <w:b/>
                <w:bCs/>
                <w:spacing w:val="9"/>
              </w:rPr>
              <w:t>【行政监管措施】</w:t>
            </w:r>
            <w:r>
              <w:rPr>
                <w:b/>
                <w:bCs/>
                <w:spacing w:val="-31"/>
              </w:rPr>
              <w:t xml:space="preserve"> </w:t>
            </w:r>
            <w:r>
              <w:rPr>
                <w:spacing w:val="9"/>
              </w:rPr>
              <w:t>中国证券监督管理委员会广东监管局决定对会计师郭某清采取</w:t>
            </w:r>
            <w:r>
              <w:rPr>
                <w:spacing w:val="8"/>
              </w:rPr>
              <w:t>出具警示函的行政</w:t>
            </w:r>
            <w:r>
              <w:rPr/>
              <w:t xml:space="preserve"> </w:t>
            </w:r>
            <w:r>
              <w:rPr>
                <w:spacing w:val="6"/>
              </w:rPr>
              <w:t>监管措施。</w:t>
            </w:r>
          </w:p>
        </w:tc>
      </w:tr>
      <w:tr>
        <w:trPr>
          <w:trHeight w:val="725" w:hRule="atLeast"/>
        </w:trPr>
        <w:tc>
          <w:tcPr>
            <w:shd w:val="clear" w:fill="B8CCE4"/>
            <w:tcW w:w="1214" w:type="dxa"/>
            <w:vAlign w:val="top"/>
          </w:tcPr>
          <w:p>
            <w:pPr>
              <w:pStyle w:val="TableText"/>
              <w:ind w:left="239"/>
              <w:spacing w:before="289" w:line="178" w:lineRule="auto"/>
              <w:rPr/>
            </w:pPr>
            <w:r>
              <w:rPr>
                <w:spacing w:val="3"/>
              </w:rPr>
              <w:t>688086</w:t>
            </w:r>
          </w:p>
        </w:tc>
        <w:tc>
          <w:tcPr>
            <w:shd w:val="clear" w:fill="B8CCE4"/>
            <w:tcW w:w="1343" w:type="dxa"/>
            <w:vAlign w:val="top"/>
          </w:tcPr>
          <w:p>
            <w:pPr>
              <w:pStyle w:val="TableText"/>
              <w:ind w:left="242"/>
              <w:spacing w:before="272" w:line="190" w:lineRule="auto"/>
              <w:rPr/>
            </w:pPr>
            <w:r>
              <w:rPr>
                <w:spacing w:val="8"/>
              </w:rPr>
              <w:t>退市紫晶</w:t>
            </w:r>
          </w:p>
        </w:tc>
        <w:tc>
          <w:tcPr>
            <w:shd w:val="clear" w:fill="B8CCE4"/>
            <w:tcW w:w="6715" w:type="dxa"/>
            <w:vAlign w:val="top"/>
          </w:tcPr>
          <w:p>
            <w:pPr>
              <w:pStyle w:val="TableText"/>
              <w:ind w:left="99" w:right="103" w:firstLine="3"/>
              <w:spacing w:before="57" w:line="230" w:lineRule="auto"/>
              <w:rPr/>
            </w:pPr>
            <w:r>
              <w:rPr>
                <w:spacing w:val="12"/>
              </w:rPr>
              <w:t>立信会计师事务所 （特殊普通合伙） 执业的广</w:t>
            </w:r>
            <w:r>
              <w:rPr>
                <w:spacing w:val="11"/>
              </w:rPr>
              <w:t>东紫晶信息存储技术股</w:t>
            </w:r>
            <w:r>
              <w:rPr/>
              <w:t xml:space="preserve"> </w:t>
            </w:r>
            <w:r>
              <w:rPr>
                <w:spacing w:val="7"/>
              </w:rPr>
              <w:t>份有限公司 2020 年度财务报表审计项目存在问题。</w:t>
            </w:r>
          </w:p>
        </w:tc>
      </w:tr>
      <w:tr>
        <w:trPr>
          <w:trHeight w:val="724" w:hRule="atLeast"/>
        </w:trPr>
        <w:tc>
          <w:tcPr>
            <w:tcW w:w="9272" w:type="dxa"/>
            <w:vAlign w:val="top"/>
            <w:gridSpan w:val="3"/>
          </w:tcPr>
          <w:p>
            <w:pPr>
              <w:pStyle w:val="TableText"/>
              <w:ind w:left="107" w:right="125" w:firstLine="15"/>
              <w:spacing w:before="53" w:line="231" w:lineRule="auto"/>
              <w:rPr/>
            </w:pPr>
            <w:r>
              <w:rPr>
                <w:b/>
                <w:bCs/>
                <w:spacing w:val="9"/>
              </w:rPr>
              <w:t>【行政监管措施</w:t>
            </w:r>
            <w:r>
              <w:rPr>
                <w:spacing w:val="9"/>
              </w:rPr>
              <w:t>】</w:t>
            </w:r>
            <w:r>
              <w:rPr>
                <w:spacing w:val="-31"/>
              </w:rPr>
              <w:t xml:space="preserve"> </w:t>
            </w:r>
            <w:r>
              <w:rPr>
                <w:spacing w:val="9"/>
              </w:rPr>
              <w:t>中国证券监督管理委员会广东监管局决定对会计师肖某和采取</w:t>
            </w:r>
            <w:r>
              <w:rPr>
                <w:spacing w:val="8"/>
              </w:rPr>
              <w:t>出具警示函的行政</w:t>
            </w:r>
            <w:r>
              <w:rPr/>
              <w:t xml:space="preserve"> </w:t>
            </w:r>
            <w:r>
              <w:rPr>
                <w:spacing w:val="6"/>
              </w:rPr>
              <w:t>监管措施。</w:t>
            </w:r>
          </w:p>
        </w:tc>
      </w:tr>
      <w:tr>
        <w:trPr>
          <w:trHeight w:val="372" w:hRule="atLeast"/>
        </w:trPr>
        <w:tc>
          <w:tcPr>
            <w:shd w:val="clear" w:fill="B8CCE4"/>
            <w:tcW w:w="1214" w:type="dxa"/>
            <w:vAlign w:val="top"/>
          </w:tcPr>
          <w:p>
            <w:pPr>
              <w:pStyle w:val="TableText"/>
              <w:ind w:left="239"/>
              <w:spacing w:before="111" w:line="175" w:lineRule="auto"/>
              <w:rPr/>
            </w:pPr>
            <w:r>
              <w:rPr>
                <w:spacing w:val="3"/>
              </w:rPr>
              <w:t>688086</w:t>
            </w:r>
          </w:p>
        </w:tc>
        <w:tc>
          <w:tcPr>
            <w:shd w:val="clear" w:fill="B8CCE4"/>
            <w:tcW w:w="1343" w:type="dxa"/>
            <w:vAlign w:val="top"/>
          </w:tcPr>
          <w:p>
            <w:pPr>
              <w:pStyle w:val="TableText"/>
              <w:ind w:left="242"/>
              <w:spacing w:before="96" w:line="186" w:lineRule="auto"/>
              <w:rPr/>
            </w:pPr>
            <w:r>
              <w:rPr>
                <w:spacing w:val="8"/>
              </w:rPr>
              <w:t>退市紫晶</w:t>
            </w:r>
          </w:p>
        </w:tc>
        <w:tc>
          <w:tcPr>
            <w:shd w:val="clear" w:fill="B8CCE4"/>
            <w:tcW w:w="6715" w:type="dxa"/>
            <w:vAlign w:val="top"/>
          </w:tcPr>
          <w:p>
            <w:pPr>
              <w:pStyle w:val="TableText"/>
              <w:ind w:left="103"/>
              <w:spacing w:before="58" w:line="212" w:lineRule="auto"/>
              <w:rPr/>
            </w:pPr>
            <w:r>
              <w:rPr>
                <w:spacing w:val="5"/>
              </w:rPr>
              <w:t>立信会计师事务所 （特殊普通合伙） 执业的广东紫晶信息存储技术股</w:t>
            </w:r>
          </w:p>
        </w:tc>
      </w:tr>
    </w:tbl>
    <w:p>
      <w:pPr>
        <w:pStyle w:val="BodyText"/>
        <w:spacing w:line="14" w:lineRule="auto"/>
        <w:rPr>
          <w:sz w:val="2"/>
        </w:rPr>
      </w:pPr>
      <w:r/>
    </w:p>
    <w:p>
      <w:pPr>
        <w:spacing w:line="14" w:lineRule="auto"/>
        <w:sectPr>
          <w:pgSz w:w="11910" w:h="16840"/>
          <w:pgMar w:top="400" w:right="1394" w:bottom="343" w:left="1228" w:header="0" w:footer="0" w:gutter="0"/>
        </w:sectPr>
        <w:rPr>
          <w:sz w:val="2"/>
          <w:szCs w:val="2"/>
        </w:rPr>
      </w:pPr>
    </w:p>
    <w:tbl>
      <w:tblPr>
        <w:tblStyle w:val="TableNormal"/>
        <w:tblW w:w="9272" w:type="dxa"/>
        <w:tblInd w:w="7" w:type="dxa"/>
        <w:tblLayout w:type="fixed"/>
        <w:tblBorders>
          <w:top w:val="single" w:color="4F81BD" w:sz="6" w:space="0"/>
          <w:left w:val="single" w:color="4F81BD" w:sz="6" w:space="0"/>
          <w:bottom w:val="single" w:color="4F81BD" w:sz="6" w:space="0"/>
          <w:right w:val="single" w:color="4F81BD" w:sz="6" w:space="0"/>
          <w:insideH w:val="single" w:color="4F81BD" w:sz="6" w:space="0"/>
          <w:insideV w:val="single" w:color="4F81BD" w:sz="6" w:space="0"/>
        </w:tblBorders>
      </w:tblPr>
      <w:tblGrid>
        <w:gridCol w:w="1214"/>
        <w:gridCol w:w="1343"/>
        <w:gridCol w:w="6715"/>
      </w:tblGrid>
      <w:tr>
        <w:trPr>
          <w:trHeight w:val="384" w:hRule="atLeast"/>
        </w:trPr>
        <w:tc>
          <w:tcPr>
            <w:shd w:val="clear" w:fill="B8CCE4"/>
            <w:tcW w:w="1214" w:type="dxa"/>
            <w:vAlign w:val="top"/>
            <w:tcBorders>
              <w:top w:val="single" w:color="FFFFFF" w:sz="2" w:space="0"/>
            </w:tcBorders>
          </w:tcPr>
          <w:p>
            <w:pPr>
              <w:rPr>
                <w:rFonts w:ascii="Arial"/>
                <w:sz w:val="21"/>
              </w:rPr>
            </w:pPr>
            <w:r/>
          </w:p>
        </w:tc>
        <w:tc>
          <w:tcPr>
            <w:shd w:val="clear" w:fill="B8CCE4"/>
            <w:tcW w:w="1343" w:type="dxa"/>
            <w:vAlign w:val="top"/>
            <w:tcBorders>
              <w:top w:val="single" w:color="FFFFFF" w:sz="2" w:space="0"/>
            </w:tcBorders>
          </w:tcPr>
          <w:p>
            <w:pPr>
              <w:rPr>
                <w:rFonts w:ascii="Arial"/>
                <w:sz w:val="21"/>
              </w:rPr>
            </w:pPr>
            <w:r/>
          </w:p>
        </w:tc>
        <w:tc>
          <w:tcPr>
            <w:shd w:val="clear" w:fill="B8CCE4"/>
            <w:tcW w:w="6715" w:type="dxa"/>
            <w:vAlign w:val="top"/>
            <w:tcBorders>
              <w:top w:val="single" w:color="FFFFFF" w:sz="2" w:space="0"/>
            </w:tcBorders>
          </w:tcPr>
          <w:p>
            <w:pPr>
              <w:pStyle w:val="TableText"/>
              <w:ind w:left="99"/>
              <w:spacing w:before="101" w:line="190" w:lineRule="auto"/>
              <w:rPr/>
            </w:pPr>
            <w:r>
              <w:rPr>
                <w:spacing w:val="7"/>
              </w:rPr>
              <w:t>份有限公司 2020 年度财务报表审计项目存在问题。</w:t>
            </w:r>
          </w:p>
        </w:tc>
      </w:tr>
      <w:tr>
        <w:trPr>
          <w:trHeight w:val="725" w:hRule="atLeast"/>
        </w:trPr>
        <w:tc>
          <w:tcPr>
            <w:tcW w:w="9272" w:type="dxa"/>
            <w:vAlign w:val="top"/>
            <w:gridSpan w:val="3"/>
          </w:tcPr>
          <w:p>
            <w:pPr>
              <w:pStyle w:val="TableText"/>
              <w:ind w:left="105" w:right="142" w:firstLine="17"/>
              <w:spacing w:before="40" w:line="236" w:lineRule="auto"/>
              <w:rPr/>
            </w:pPr>
            <w:r>
              <w:rPr>
                <w:b/>
                <w:bCs/>
                <w:spacing w:val="7"/>
              </w:rPr>
              <w:t>【行政监管措施】</w:t>
            </w:r>
            <w:r>
              <w:rPr>
                <w:b/>
                <w:bCs/>
                <w:spacing w:val="-32"/>
              </w:rPr>
              <w:t xml:space="preserve"> </w:t>
            </w:r>
            <w:r>
              <w:rPr>
                <w:spacing w:val="7"/>
              </w:rPr>
              <w:t>中国证券监督管理委员会广东监管局决定对立信会计师事务所 （特殊</w:t>
            </w:r>
            <w:r>
              <w:rPr>
                <w:spacing w:val="6"/>
              </w:rPr>
              <w:t>普通合伙）</w:t>
            </w:r>
            <w:r>
              <w:rPr/>
              <w:t xml:space="preserve"> </w:t>
            </w:r>
            <w:r>
              <w:rPr>
                <w:spacing w:val="8"/>
              </w:rPr>
              <w:t>采取出具警示函的行政监管措施。</w:t>
            </w:r>
          </w:p>
        </w:tc>
      </w:tr>
      <w:tr>
        <w:trPr>
          <w:trHeight w:val="724" w:hRule="atLeast"/>
        </w:trPr>
        <w:tc>
          <w:tcPr>
            <w:shd w:val="clear" w:fill="B8CCE4"/>
            <w:tcW w:w="1214" w:type="dxa"/>
            <w:vAlign w:val="top"/>
          </w:tcPr>
          <w:p>
            <w:pPr>
              <w:pStyle w:val="TableText"/>
              <w:ind w:left="239"/>
              <w:spacing w:before="276" w:line="178" w:lineRule="auto"/>
              <w:rPr/>
            </w:pPr>
            <w:r>
              <w:rPr>
                <w:spacing w:val="3"/>
              </w:rPr>
              <w:t>600965</w:t>
            </w:r>
          </w:p>
        </w:tc>
        <w:tc>
          <w:tcPr>
            <w:shd w:val="clear" w:fill="B8CCE4"/>
            <w:tcW w:w="1343" w:type="dxa"/>
            <w:vAlign w:val="top"/>
          </w:tcPr>
          <w:p>
            <w:pPr>
              <w:pStyle w:val="TableText"/>
              <w:ind w:left="243"/>
              <w:spacing w:before="262" w:line="189" w:lineRule="auto"/>
              <w:rPr/>
            </w:pPr>
            <w:r>
              <w:rPr>
                <w:spacing w:val="8"/>
              </w:rPr>
              <w:t>福成股份</w:t>
            </w:r>
          </w:p>
        </w:tc>
        <w:tc>
          <w:tcPr>
            <w:shd w:val="clear" w:fill="B8CCE4"/>
            <w:tcW w:w="6715" w:type="dxa"/>
            <w:vAlign w:val="top"/>
          </w:tcPr>
          <w:p>
            <w:pPr>
              <w:pStyle w:val="TableText"/>
              <w:ind w:left="104" w:right="103" w:hanging="4"/>
              <w:spacing w:before="79" w:line="222" w:lineRule="auto"/>
              <w:rPr/>
            </w:pPr>
            <w:r>
              <w:rPr>
                <w:spacing w:val="14"/>
              </w:rPr>
              <w:t>河北福成五丰食品股份有限公司拒绝与复审机构签定协议， </w:t>
            </w:r>
            <w:r>
              <w:rPr>
                <w:b/>
                <w:bCs/>
                <w:spacing w:val="14"/>
              </w:rPr>
              <w:t>阻碍独立</w:t>
            </w:r>
            <w:r>
              <w:rPr>
                <w:b/>
                <w:bCs/>
                <w:spacing w:val="2"/>
              </w:rPr>
              <w:t xml:space="preserve"> </w:t>
            </w:r>
            <w:r>
              <w:rPr>
                <w:b/>
                <w:bCs/>
                <w:spacing w:val="7"/>
              </w:rPr>
              <w:t>董事行使职权。</w:t>
            </w:r>
          </w:p>
        </w:tc>
      </w:tr>
      <w:tr>
        <w:trPr>
          <w:trHeight w:val="725" w:hRule="atLeast"/>
        </w:trPr>
        <w:tc>
          <w:tcPr>
            <w:tcW w:w="9272" w:type="dxa"/>
            <w:vAlign w:val="top"/>
            <w:gridSpan w:val="3"/>
          </w:tcPr>
          <w:p>
            <w:pPr>
              <w:pStyle w:val="TableText"/>
              <w:ind w:left="106" w:right="125" w:firstLine="16"/>
              <w:spacing w:before="40" w:line="236" w:lineRule="auto"/>
              <w:rPr/>
            </w:pPr>
            <w:r>
              <w:rPr>
                <w:b/>
                <w:bCs/>
                <w:spacing w:val="9"/>
              </w:rPr>
              <w:t>【行政监管措施】</w:t>
            </w:r>
            <w:r>
              <w:rPr>
                <w:b/>
                <w:bCs/>
                <w:spacing w:val="-31"/>
              </w:rPr>
              <w:t xml:space="preserve"> </w:t>
            </w:r>
            <w:r>
              <w:rPr>
                <w:spacing w:val="9"/>
              </w:rPr>
              <w:t>中国证券监督管理委员会河北监管局决定对河北福成五丰食品</w:t>
            </w:r>
            <w:r>
              <w:rPr>
                <w:spacing w:val="8"/>
              </w:rPr>
              <w:t>股份有限公司采取</w:t>
            </w:r>
            <w:r>
              <w:rPr/>
              <w:t xml:space="preserve"> </w:t>
            </w:r>
            <w:r>
              <w:rPr>
                <w:spacing w:val="9"/>
              </w:rPr>
              <w:t>责令改正并出具警示函行政监管措施。</w:t>
            </w:r>
          </w:p>
        </w:tc>
      </w:tr>
      <w:tr>
        <w:trPr>
          <w:trHeight w:val="365" w:hRule="atLeast"/>
        </w:trPr>
        <w:tc>
          <w:tcPr>
            <w:shd w:val="clear" w:fill="B8CCE4"/>
            <w:tcW w:w="1214" w:type="dxa"/>
            <w:vAlign w:val="top"/>
          </w:tcPr>
          <w:p>
            <w:pPr>
              <w:pStyle w:val="TableText"/>
              <w:ind w:left="239"/>
              <w:spacing w:before="98" w:line="178" w:lineRule="auto"/>
              <w:rPr/>
            </w:pPr>
            <w:r>
              <w:rPr>
                <w:spacing w:val="3"/>
              </w:rPr>
              <w:t>600083</w:t>
            </w:r>
          </w:p>
        </w:tc>
        <w:tc>
          <w:tcPr>
            <w:shd w:val="clear" w:fill="B8CCE4"/>
            <w:tcW w:w="1343" w:type="dxa"/>
            <w:vAlign w:val="top"/>
          </w:tcPr>
          <w:p>
            <w:pPr>
              <w:pStyle w:val="TableText"/>
              <w:ind w:left="262"/>
              <w:spacing w:before="83" w:line="189" w:lineRule="auto"/>
              <w:rPr/>
            </w:pPr>
            <w:r>
              <w:rPr>
                <w:spacing w:val="4"/>
              </w:rPr>
              <w:t>*</w:t>
            </w:r>
            <w:r>
              <w:rPr/>
              <w:t>ST</w:t>
            </w:r>
            <w:r>
              <w:rPr>
                <w:spacing w:val="4"/>
              </w:rPr>
              <w:t xml:space="preserve"> 博信</w:t>
            </w:r>
          </w:p>
        </w:tc>
        <w:tc>
          <w:tcPr>
            <w:shd w:val="clear" w:fill="B8CCE4"/>
            <w:tcW w:w="6715" w:type="dxa"/>
            <w:vAlign w:val="top"/>
          </w:tcPr>
          <w:p>
            <w:pPr>
              <w:pStyle w:val="TableText"/>
              <w:ind w:left="102"/>
              <w:spacing w:before="82" w:line="190" w:lineRule="auto"/>
              <w:rPr/>
            </w:pPr>
            <w:r>
              <w:rPr>
                <w:spacing w:val="8"/>
              </w:rPr>
              <w:t>交易对手未向*</w:t>
            </w:r>
            <w:r>
              <w:rPr/>
              <w:t>ST</w:t>
            </w:r>
            <w:r>
              <w:rPr>
                <w:spacing w:val="8"/>
              </w:rPr>
              <w:t xml:space="preserve"> 博信支付剩余</w:t>
            </w:r>
            <w:r>
              <w:rPr>
                <w:b/>
                <w:bCs/>
                <w:spacing w:val="8"/>
              </w:rPr>
              <w:t>业绩承诺补偿款。</w:t>
            </w:r>
          </w:p>
        </w:tc>
      </w:tr>
      <w:tr>
        <w:trPr>
          <w:trHeight w:val="724" w:hRule="atLeast"/>
        </w:trPr>
        <w:tc>
          <w:tcPr>
            <w:tcW w:w="9272" w:type="dxa"/>
            <w:vAlign w:val="top"/>
            <w:gridSpan w:val="3"/>
          </w:tcPr>
          <w:p>
            <w:pPr>
              <w:pStyle w:val="TableText"/>
              <w:ind w:left="107" w:right="283" w:firstLine="15"/>
              <w:spacing w:before="41" w:line="235" w:lineRule="auto"/>
              <w:rPr/>
            </w:pPr>
            <w:r>
              <w:rPr>
                <w:b/>
                <w:bCs/>
                <w:spacing w:val="9"/>
              </w:rPr>
              <w:t>【行政监管措施】</w:t>
            </w:r>
            <w:r>
              <w:rPr>
                <w:b/>
                <w:bCs/>
                <w:spacing w:val="-31"/>
              </w:rPr>
              <w:t xml:space="preserve"> </w:t>
            </w:r>
            <w:r>
              <w:rPr>
                <w:spacing w:val="9"/>
              </w:rPr>
              <w:t>中国证券监督管理委员会江苏监管局决定对王</w:t>
            </w:r>
            <w:r>
              <w:rPr>
                <w:spacing w:val="8"/>
              </w:rPr>
              <w:t>某采取责令改正的行政监管措施,</w:t>
            </w:r>
            <w:r>
              <w:rPr/>
              <w:t xml:space="preserve"> </w:t>
            </w:r>
            <w:r>
              <w:rPr>
                <w:spacing w:val="8"/>
              </w:rPr>
              <w:t>并记入证券期货市场诚信档案。</w:t>
            </w:r>
          </w:p>
        </w:tc>
      </w:tr>
      <w:tr>
        <w:trPr>
          <w:trHeight w:val="725" w:hRule="atLeast"/>
        </w:trPr>
        <w:tc>
          <w:tcPr>
            <w:shd w:val="clear" w:fill="B8CCE4"/>
            <w:tcW w:w="1214" w:type="dxa"/>
            <w:vAlign w:val="top"/>
          </w:tcPr>
          <w:p>
            <w:pPr>
              <w:pStyle w:val="TableText"/>
              <w:ind w:left="239"/>
              <w:spacing w:before="280" w:line="178" w:lineRule="auto"/>
              <w:rPr/>
            </w:pPr>
            <w:r>
              <w:rPr>
                <w:spacing w:val="3"/>
              </w:rPr>
              <w:t>600990</w:t>
            </w:r>
          </w:p>
        </w:tc>
        <w:tc>
          <w:tcPr>
            <w:shd w:val="clear" w:fill="B8CCE4"/>
            <w:tcW w:w="1343" w:type="dxa"/>
            <w:vAlign w:val="top"/>
          </w:tcPr>
          <w:p>
            <w:pPr>
              <w:pStyle w:val="TableText"/>
              <w:ind w:left="259"/>
              <w:spacing w:before="266" w:line="188" w:lineRule="auto"/>
              <w:rPr/>
            </w:pPr>
            <w:r>
              <w:rPr>
                <w:spacing w:val="4"/>
              </w:rPr>
              <w:t>四创电子</w:t>
            </w:r>
          </w:p>
        </w:tc>
        <w:tc>
          <w:tcPr>
            <w:shd w:val="clear" w:fill="B8CCE4"/>
            <w:tcW w:w="6715" w:type="dxa"/>
            <w:vAlign w:val="top"/>
          </w:tcPr>
          <w:p>
            <w:pPr>
              <w:pStyle w:val="TableText"/>
              <w:ind w:left="99" w:right="103" w:firstLine="5"/>
              <w:spacing w:before="83" w:line="221" w:lineRule="auto"/>
              <w:rPr/>
            </w:pPr>
            <w:r>
              <w:rPr>
                <w:spacing w:val="11"/>
              </w:rPr>
              <w:t>收入确认不规范， 坏账、存货跌价准备计提不规范，</w:t>
            </w:r>
            <w:r>
              <w:rPr>
                <w:spacing w:val="31"/>
              </w:rPr>
              <w:t xml:space="preserve"> </w:t>
            </w:r>
            <w:r>
              <w:rPr>
                <w:spacing w:val="11"/>
              </w:rPr>
              <w:t>内部控制制度存</w:t>
            </w:r>
            <w:r>
              <w:rPr/>
              <w:t xml:space="preserve"> </w:t>
            </w:r>
            <w:r>
              <w:rPr>
                <w:spacing w:val="7"/>
              </w:rPr>
              <w:t>在重大缺陷。</w:t>
            </w:r>
          </w:p>
        </w:tc>
      </w:tr>
      <w:tr>
        <w:trPr>
          <w:trHeight w:val="725" w:hRule="atLeast"/>
        </w:trPr>
        <w:tc>
          <w:tcPr>
            <w:tcW w:w="9272" w:type="dxa"/>
            <w:vAlign w:val="top"/>
            <w:gridSpan w:val="3"/>
          </w:tcPr>
          <w:p>
            <w:pPr>
              <w:pStyle w:val="TableText"/>
              <w:ind w:left="114" w:right="125" w:firstLine="8"/>
              <w:spacing w:before="42" w:line="235" w:lineRule="auto"/>
              <w:rPr/>
            </w:pPr>
            <w:r>
              <w:rPr>
                <w:b/>
                <w:bCs/>
                <w:spacing w:val="9"/>
              </w:rPr>
              <w:t>【行政监管措施】</w:t>
            </w:r>
            <w:r>
              <w:rPr>
                <w:b/>
                <w:bCs/>
                <w:spacing w:val="-31"/>
              </w:rPr>
              <w:t xml:space="preserve"> </w:t>
            </w:r>
            <w:r>
              <w:rPr>
                <w:spacing w:val="9"/>
              </w:rPr>
              <w:t>中国证券监督管理委员会安徽监管局决定对四创电子股份有限</w:t>
            </w:r>
            <w:r>
              <w:rPr>
                <w:spacing w:val="8"/>
              </w:rPr>
              <w:t>公司采取责令改正</w:t>
            </w:r>
            <w:r>
              <w:rPr/>
              <w:t xml:space="preserve"> </w:t>
            </w:r>
            <w:r>
              <w:rPr>
                <w:spacing w:val="6"/>
              </w:rPr>
              <w:t>的行政监管措施， 并记入证券期货市场诚信档</w:t>
            </w:r>
            <w:r>
              <w:rPr>
                <w:spacing w:val="5"/>
              </w:rPr>
              <w:t>案。</w:t>
            </w:r>
          </w:p>
        </w:tc>
      </w:tr>
      <w:tr>
        <w:trPr>
          <w:trHeight w:val="2884" w:hRule="atLeast"/>
        </w:trPr>
        <w:tc>
          <w:tcPr>
            <w:shd w:val="clear" w:fill="B8CCE4"/>
            <w:tcW w:w="1214" w:type="dxa"/>
            <w:vAlign w:val="top"/>
          </w:tcPr>
          <w:p>
            <w:pPr>
              <w:spacing w:line="253" w:lineRule="auto"/>
              <w:rPr>
                <w:rFonts w:ascii="Arial"/>
                <w:sz w:val="21"/>
              </w:rPr>
            </w:pPr>
            <w:r/>
          </w:p>
          <w:p>
            <w:pPr>
              <w:spacing w:line="253" w:lineRule="auto"/>
              <w:rPr>
                <w:rFonts w:ascii="Arial"/>
                <w:sz w:val="21"/>
              </w:rPr>
            </w:pPr>
            <w:r/>
          </w:p>
          <w:p>
            <w:pPr>
              <w:spacing w:line="253" w:lineRule="auto"/>
              <w:rPr>
                <w:rFonts w:ascii="Arial"/>
                <w:sz w:val="21"/>
              </w:rPr>
            </w:pPr>
            <w:r/>
          </w:p>
          <w:p>
            <w:pPr>
              <w:spacing w:line="253" w:lineRule="auto"/>
              <w:rPr>
                <w:rFonts w:ascii="Arial"/>
                <w:sz w:val="21"/>
              </w:rPr>
            </w:pPr>
            <w:r/>
          </w:p>
          <w:p>
            <w:pPr>
              <w:spacing w:line="254" w:lineRule="auto"/>
              <w:rPr>
                <w:rFonts w:ascii="Arial"/>
                <w:sz w:val="21"/>
              </w:rPr>
            </w:pPr>
            <w:r/>
          </w:p>
          <w:p>
            <w:pPr>
              <w:pStyle w:val="TableText"/>
              <w:ind w:left="239"/>
              <w:spacing w:before="85" w:line="179" w:lineRule="auto"/>
              <w:rPr/>
            </w:pPr>
            <w:r>
              <w:rPr>
                <w:spacing w:val="3"/>
              </w:rPr>
              <w:t>601066</w:t>
            </w:r>
          </w:p>
        </w:tc>
        <w:tc>
          <w:tcPr>
            <w:shd w:val="clear" w:fill="B8CCE4"/>
            <w:tcW w:w="1343" w:type="dxa"/>
            <w:vAlign w:val="top"/>
          </w:tcPr>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spacing w:line="251" w:lineRule="auto"/>
              <w:rPr>
                <w:rFonts w:ascii="Arial"/>
                <w:sz w:val="21"/>
              </w:rPr>
            </w:pPr>
            <w:r/>
          </w:p>
          <w:p>
            <w:pPr>
              <w:spacing w:line="251" w:lineRule="auto"/>
              <w:rPr>
                <w:rFonts w:ascii="Arial"/>
                <w:sz w:val="21"/>
              </w:rPr>
            </w:pPr>
            <w:r/>
          </w:p>
          <w:p>
            <w:pPr>
              <w:pStyle w:val="TableText"/>
              <w:ind w:left="257"/>
              <w:spacing w:before="86" w:line="189" w:lineRule="auto"/>
              <w:rPr/>
            </w:pPr>
            <w:r>
              <w:rPr>
                <w:spacing w:val="5"/>
              </w:rPr>
              <w:t>中信建投</w:t>
            </w:r>
          </w:p>
        </w:tc>
        <w:tc>
          <w:tcPr>
            <w:shd w:val="clear" w:fill="B8CCE4"/>
            <w:tcW w:w="6715" w:type="dxa"/>
            <w:vAlign w:val="top"/>
          </w:tcPr>
          <w:p>
            <w:pPr>
              <w:pStyle w:val="TableText"/>
              <w:ind w:left="98" w:right="103" w:firstLine="15"/>
              <w:spacing w:before="83" w:line="244" w:lineRule="auto"/>
              <w:rPr/>
            </w:pPr>
            <w:r>
              <w:rPr>
                <w:spacing w:val="16"/>
              </w:rPr>
              <w:t>中信建投证券股份有限公司在广东紫晶信息存储技术股份有限公司申</w:t>
            </w:r>
            <w:r>
              <w:rPr>
                <w:spacing w:val="1"/>
              </w:rPr>
              <w:t xml:space="preserve"> </w:t>
            </w:r>
            <w:r>
              <w:rPr>
                <w:spacing w:val="16"/>
              </w:rPr>
              <w:t>请公开发行股票并在科创板上市保荐、承销项目中存在未审慎核查销</w:t>
            </w:r>
            <w:r>
              <w:rPr>
                <w:spacing w:val="17"/>
              </w:rPr>
              <w:t xml:space="preserve"> </w:t>
            </w:r>
            <w:r>
              <w:rPr>
                <w:spacing w:val="16"/>
              </w:rPr>
              <w:t>售设备的安装调试及维护等配套服务、未审慎核查销售收入确认有关</w:t>
            </w:r>
            <w:r>
              <w:rPr>
                <w:spacing w:val="17"/>
              </w:rPr>
              <w:t xml:space="preserve"> </w:t>
            </w:r>
            <w:r>
              <w:rPr>
                <w:spacing w:val="22"/>
              </w:rPr>
              <w:t>合同和单据的异常情况</w:t>
            </w:r>
            <w:r>
              <w:rPr>
                <w:spacing w:val="-26"/>
              </w:rPr>
              <w:t xml:space="preserve"> </w:t>
            </w:r>
            <w:r>
              <w:rPr>
                <w:spacing w:val="22"/>
              </w:rPr>
              <w:t>、</w:t>
            </w:r>
            <w:r>
              <w:rPr>
                <w:spacing w:val="-34"/>
              </w:rPr>
              <w:t xml:space="preserve"> </w:t>
            </w:r>
            <w:r>
              <w:rPr>
                <w:spacing w:val="22"/>
              </w:rPr>
              <w:t>未按其制订的核查程序对有关客户开展走</w:t>
            </w:r>
            <w:r>
              <w:rPr/>
              <w:t xml:space="preserve"> </w:t>
            </w:r>
            <w:r>
              <w:rPr>
                <w:spacing w:val="16"/>
              </w:rPr>
              <w:t>访、未审慎核查收入截止性、未审慎核查银行存款、未审慎核查紫晶</w:t>
            </w:r>
            <w:r>
              <w:rPr>
                <w:spacing w:val="17"/>
              </w:rPr>
              <w:t xml:space="preserve"> </w:t>
            </w:r>
            <w:r>
              <w:rPr>
                <w:spacing w:val="24"/>
              </w:rPr>
              <w:t>存储及其实际控制人与重要客户及供应商的关联关系及资金往来情</w:t>
            </w:r>
            <w:r>
              <w:rPr/>
              <w:t xml:space="preserve"> </w:t>
            </w:r>
            <w:r>
              <w:rPr>
                <w:spacing w:val="16"/>
              </w:rPr>
              <w:t>况、未充分核查验证公开发行募集文件的真实性、准确性、完整性、</w:t>
            </w:r>
            <w:r>
              <w:rPr>
                <w:spacing w:val="17"/>
              </w:rPr>
              <w:t xml:space="preserve"> </w:t>
            </w:r>
            <w:r>
              <w:rPr>
                <w:spacing w:val="9"/>
              </w:rPr>
              <w:t>未审慎核查对外担保事项、未审慎核查销售收入真实性等问题。</w:t>
            </w:r>
          </w:p>
        </w:tc>
      </w:tr>
      <w:tr>
        <w:trPr>
          <w:trHeight w:val="1084" w:hRule="atLeast"/>
        </w:trPr>
        <w:tc>
          <w:tcPr>
            <w:tcW w:w="9272" w:type="dxa"/>
            <w:vAlign w:val="top"/>
            <w:gridSpan w:val="3"/>
          </w:tcPr>
          <w:p>
            <w:pPr>
              <w:pStyle w:val="TableText"/>
              <w:ind w:left="122"/>
              <w:spacing w:before="45" w:line="233" w:lineRule="auto"/>
              <w:rPr/>
            </w:pPr>
            <w:r>
              <w:rPr>
                <w:b/>
                <w:bCs/>
                <w:spacing w:val="5"/>
              </w:rPr>
              <w:t>【行政监管措施</w:t>
            </w:r>
            <w:r>
              <w:rPr>
                <w:spacing w:val="5"/>
              </w:rPr>
              <w:t>】</w:t>
            </w:r>
            <w:r>
              <w:rPr>
                <w:spacing w:val="-16"/>
              </w:rPr>
              <w:t xml:space="preserve"> </w:t>
            </w:r>
            <w:r>
              <w:rPr>
                <w:spacing w:val="5"/>
              </w:rPr>
              <w:t>中国证券监督管理委员会广东监管局决定： 认定邱某辉 （公民身份证号码：</w:t>
            </w:r>
          </w:p>
          <w:p>
            <w:pPr>
              <w:pStyle w:val="TableText"/>
              <w:ind w:left="106" w:right="218" w:firstLine="11"/>
              <w:spacing w:before="32" w:line="232" w:lineRule="auto"/>
              <w:rPr/>
            </w:pPr>
            <w:r>
              <w:rPr>
                <w:spacing w:val="4"/>
              </w:rPr>
              <w:t>350************872） 为不适当人选，</w:t>
            </w:r>
            <w:r>
              <w:rPr>
                <w:spacing w:val="24"/>
                <w:w w:val="101"/>
              </w:rPr>
              <w:t xml:space="preserve"> </w:t>
            </w:r>
            <w:r>
              <w:rPr>
                <w:spacing w:val="4"/>
              </w:rPr>
              <w:t>自行政监管措施决定作出之日起3</w:t>
            </w:r>
            <w:r>
              <w:rPr>
                <w:spacing w:val="3"/>
              </w:rPr>
              <w:t>年内， 不得担任证券公司</w:t>
            </w:r>
            <w:r>
              <w:rPr/>
              <w:t xml:space="preserve"> </w:t>
            </w:r>
            <w:r>
              <w:rPr>
                <w:spacing w:val="9"/>
              </w:rPr>
              <w:t>证券发行上市保荐业务相关职务或者实际履行上述职务。</w:t>
            </w:r>
          </w:p>
        </w:tc>
      </w:tr>
      <w:tr>
        <w:trPr>
          <w:trHeight w:val="2884" w:hRule="atLeast"/>
        </w:trPr>
        <w:tc>
          <w:tcPr>
            <w:shd w:val="clear" w:fill="B8CCE4"/>
            <w:tcW w:w="1214" w:type="dxa"/>
            <w:vAlign w:val="top"/>
          </w:tcPr>
          <w:p>
            <w:pPr>
              <w:spacing w:line="254" w:lineRule="auto"/>
              <w:rPr>
                <w:rFonts w:ascii="Arial"/>
                <w:sz w:val="21"/>
              </w:rPr>
            </w:pPr>
            <w:r/>
          </w:p>
          <w:p>
            <w:pPr>
              <w:spacing w:line="254" w:lineRule="auto"/>
              <w:rPr>
                <w:rFonts w:ascii="Arial"/>
                <w:sz w:val="21"/>
              </w:rPr>
            </w:pPr>
            <w:r/>
          </w:p>
          <w:p>
            <w:pPr>
              <w:spacing w:line="254" w:lineRule="auto"/>
              <w:rPr>
                <w:rFonts w:ascii="Arial"/>
                <w:sz w:val="21"/>
              </w:rPr>
            </w:pPr>
            <w:r/>
          </w:p>
          <w:p>
            <w:pPr>
              <w:spacing w:line="254" w:lineRule="auto"/>
              <w:rPr>
                <w:rFonts w:ascii="Arial"/>
                <w:sz w:val="21"/>
              </w:rPr>
            </w:pPr>
            <w:r/>
          </w:p>
          <w:p>
            <w:pPr>
              <w:spacing w:line="255" w:lineRule="auto"/>
              <w:rPr>
                <w:rFonts w:ascii="Arial"/>
                <w:sz w:val="21"/>
              </w:rPr>
            </w:pPr>
            <w:r/>
          </w:p>
          <w:p>
            <w:pPr>
              <w:pStyle w:val="TableText"/>
              <w:ind w:left="239"/>
              <w:spacing w:before="86" w:line="179" w:lineRule="auto"/>
              <w:rPr/>
            </w:pPr>
            <w:r>
              <w:rPr>
                <w:spacing w:val="3"/>
              </w:rPr>
              <w:t>601066</w:t>
            </w:r>
          </w:p>
        </w:tc>
        <w:tc>
          <w:tcPr>
            <w:shd w:val="clear" w:fill="B8CCE4"/>
            <w:tcW w:w="1343" w:type="dxa"/>
            <w:vAlign w:val="top"/>
          </w:tcPr>
          <w:p>
            <w:pPr>
              <w:spacing w:line="251" w:lineRule="auto"/>
              <w:rPr>
                <w:rFonts w:ascii="Arial"/>
                <w:sz w:val="21"/>
              </w:rPr>
            </w:pPr>
            <w:r/>
          </w:p>
          <w:p>
            <w:pPr>
              <w:spacing w:line="251" w:lineRule="auto"/>
              <w:rPr>
                <w:rFonts w:ascii="Arial"/>
                <w:sz w:val="21"/>
              </w:rPr>
            </w:pPr>
            <w:r/>
          </w:p>
          <w:p>
            <w:pPr>
              <w:spacing w:line="252" w:lineRule="auto"/>
              <w:rPr>
                <w:rFonts w:ascii="Arial"/>
                <w:sz w:val="21"/>
              </w:rPr>
            </w:pPr>
            <w:r/>
          </w:p>
          <w:p>
            <w:pPr>
              <w:spacing w:line="252" w:lineRule="auto"/>
              <w:rPr>
                <w:rFonts w:ascii="Arial"/>
                <w:sz w:val="21"/>
              </w:rPr>
            </w:pPr>
            <w:r/>
          </w:p>
          <w:p>
            <w:pPr>
              <w:spacing w:line="252" w:lineRule="auto"/>
              <w:rPr>
                <w:rFonts w:ascii="Arial"/>
                <w:sz w:val="21"/>
              </w:rPr>
            </w:pPr>
            <w:r/>
          </w:p>
          <w:p>
            <w:pPr>
              <w:pStyle w:val="TableText"/>
              <w:ind w:left="257"/>
              <w:spacing w:before="85" w:line="189" w:lineRule="auto"/>
              <w:rPr/>
            </w:pPr>
            <w:r>
              <w:rPr>
                <w:spacing w:val="5"/>
              </w:rPr>
              <w:t>中信建投</w:t>
            </w:r>
          </w:p>
        </w:tc>
        <w:tc>
          <w:tcPr>
            <w:shd w:val="clear" w:fill="B8CCE4"/>
            <w:tcW w:w="6715" w:type="dxa"/>
            <w:vAlign w:val="top"/>
          </w:tcPr>
          <w:p>
            <w:pPr>
              <w:pStyle w:val="TableText"/>
              <w:ind w:left="98" w:right="305" w:firstLine="15"/>
              <w:spacing w:before="88" w:line="251" w:lineRule="auto"/>
              <w:rPr/>
            </w:pPr>
            <w:r>
              <w:rPr>
                <w:spacing w:val="9"/>
              </w:rPr>
              <w:t>中信建投证券股份有限公司在广东紫晶信息存储技术股份有限公司申 </w:t>
            </w:r>
            <w:r>
              <w:rPr>
                <w:spacing w:val="10"/>
              </w:rPr>
              <w:t>请公开发行股票并在科创板上市保荐、承销项目中存在未</w:t>
            </w:r>
            <w:r>
              <w:rPr>
                <w:spacing w:val="9"/>
              </w:rPr>
              <w:t>审慎核查销</w:t>
            </w:r>
            <w:r>
              <w:rPr/>
              <w:t xml:space="preserve"> </w:t>
            </w:r>
            <w:r>
              <w:rPr>
                <w:spacing w:val="10"/>
              </w:rPr>
              <w:t>售设备的安装调试及维护等配套服务、未审慎核查销售收</w:t>
            </w:r>
            <w:r>
              <w:rPr>
                <w:spacing w:val="9"/>
              </w:rPr>
              <w:t>入确认有关</w:t>
            </w:r>
            <w:r>
              <w:rPr/>
              <w:t xml:space="preserve"> </w:t>
            </w:r>
            <w:r>
              <w:rPr>
                <w:spacing w:val="10"/>
              </w:rPr>
              <w:t>合同和单据的异常情况、未按其制订的核查程序对有关客</w:t>
            </w:r>
            <w:r>
              <w:rPr>
                <w:spacing w:val="9"/>
              </w:rPr>
              <w:t>户开展走</w:t>
            </w:r>
          </w:p>
          <w:p>
            <w:pPr>
              <w:pStyle w:val="TableText"/>
              <w:ind w:left="99" w:right="305" w:firstLine="2"/>
              <w:spacing w:before="6" w:line="250" w:lineRule="auto"/>
              <w:rPr/>
            </w:pPr>
            <w:r>
              <w:rPr>
                <w:spacing w:val="10"/>
              </w:rPr>
              <w:t>访、未审慎核查收入截止性、未审慎核查银行存</w:t>
            </w:r>
            <w:r>
              <w:rPr>
                <w:spacing w:val="9"/>
              </w:rPr>
              <w:t>款、未审慎核查紫晶</w:t>
            </w:r>
            <w:r>
              <w:rPr/>
              <w:t xml:space="preserve"> </w:t>
            </w:r>
            <w:r>
              <w:rPr>
                <w:spacing w:val="10"/>
              </w:rPr>
              <w:t>存储及其实际控制人与重要客户及供应商的关联关系及</w:t>
            </w:r>
            <w:r>
              <w:rPr>
                <w:spacing w:val="9"/>
              </w:rPr>
              <w:t>资金往来情</w:t>
            </w:r>
          </w:p>
          <w:p>
            <w:pPr>
              <w:pStyle w:val="TableText"/>
              <w:ind w:left="99" w:right="351"/>
              <w:spacing w:before="5" w:line="218" w:lineRule="auto"/>
              <w:rPr/>
            </w:pPr>
            <w:r>
              <w:rPr>
                <w:spacing w:val="8"/>
              </w:rPr>
              <w:t>况、未充分核查验证公开发行募集文件的真实性、准确性、完整性、</w:t>
            </w:r>
            <w:r>
              <w:rPr>
                <w:spacing w:val="7"/>
              </w:rPr>
              <w:t xml:space="preserve"> </w:t>
            </w:r>
            <w:r>
              <w:rPr>
                <w:spacing w:val="9"/>
              </w:rPr>
              <w:t>未审慎核查对外担保事项、未审慎核查销售收入真实性等问题。</w:t>
            </w:r>
          </w:p>
        </w:tc>
      </w:tr>
      <w:tr>
        <w:trPr>
          <w:trHeight w:val="1085" w:hRule="atLeast"/>
        </w:trPr>
        <w:tc>
          <w:tcPr>
            <w:tcW w:w="9272" w:type="dxa"/>
            <w:vAlign w:val="top"/>
            <w:gridSpan w:val="3"/>
          </w:tcPr>
          <w:p>
            <w:pPr>
              <w:pStyle w:val="TableText"/>
              <w:ind w:left="106" w:right="103" w:firstLine="16"/>
              <w:spacing w:before="49" w:line="239" w:lineRule="auto"/>
              <w:rPr/>
            </w:pPr>
            <w:r>
              <w:rPr>
                <w:b/>
                <w:bCs/>
                <w:spacing w:val="14"/>
              </w:rPr>
              <w:t>【行政监管措施】</w:t>
            </w:r>
            <w:r>
              <w:rPr>
                <w:b/>
                <w:bCs/>
                <w:spacing w:val="-2"/>
              </w:rPr>
              <w:t xml:space="preserve"> </w:t>
            </w:r>
            <w:r>
              <w:rPr>
                <w:spacing w:val="14"/>
              </w:rPr>
              <w:t>中国证券监督管理委员会广东监管局决定： 认定刘某清 （公民身份证号码</w:t>
            </w:r>
            <w:r>
              <w:rPr>
                <w:spacing w:val="-8"/>
              </w:rPr>
              <w:t xml:space="preserve"> </w:t>
            </w:r>
            <w:r>
              <w:rPr>
                <w:spacing w:val="14"/>
              </w:rPr>
              <w:t>：</w:t>
            </w:r>
            <w:r>
              <w:rPr/>
              <w:t xml:space="preserve"> </w:t>
            </w:r>
            <w:r>
              <w:rPr>
                <w:spacing w:val="4"/>
              </w:rPr>
              <w:t>362************014） 为不适当人选，</w:t>
            </w:r>
            <w:r>
              <w:rPr>
                <w:spacing w:val="25"/>
              </w:rPr>
              <w:t xml:space="preserve"> </w:t>
            </w:r>
            <w:r>
              <w:rPr>
                <w:spacing w:val="4"/>
              </w:rPr>
              <w:t>自行政监管措施决定作出之日起 3 </w:t>
            </w:r>
            <w:r>
              <w:rPr>
                <w:spacing w:val="3"/>
              </w:rPr>
              <w:t>年内， 不得担任证券公司</w:t>
            </w:r>
            <w:r>
              <w:rPr/>
              <w:t xml:space="preserve"> </w:t>
            </w:r>
            <w:r>
              <w:rPr>
                <w:spacing w:val="9"/>
              </w:rPr>
              <w:t>证券发行上市保荐业务相关职务或者实际履行上述职务。</w:t>
            </w:r>
          </w:p>
        </w:tc>
      </w:tr>
      <w:tr>
        <w:trPr>
          <w:trHeight w:val="1445" w:hRule="atLeast"/>
        </w:trPr>
        <w:tc>
          <w:tcPr>
            <w:shd w:val="clear" w:fill="B8CCE4"/>
            <w:tcW w:w="1214" w:type="dxa"/>
            <w:vAlign w:val="top"/>
          </w:tcPr>
          <w:p>
            <w:pPr>
              <w:spacing w:line="279" w:lineRule="auto"/>
              <w:rPr>
                <w:rFonts w:ascii="Arial"/>
                <w:sz w:val="21"/>
              </w:rPr>
            </w:pPr>
            <w:r/>
          </w:p>
          <w:p>
            <w:pPr>
              <w:spacing w:line="279" w:lineRule="auto"/>
              <w:rPr>
                <w:rFonts w:ascii="Arial"/>
                <w:sz w:val="21"/>
              </w:rPr>
            </w:pPr>
            <w:r/>
          </w:p>
          <w:p>
            <w:pPr>
              <w:pStyle w:val="TableText"/>
              <w:ind w:left="239"/>
              <w:spacing w:before="86" w:line="178" w:lineRule="auto"/>
              <w:rPr/>
            </w:pPr>
            <w:r>
              <w:rPr>
                <w:spacing w:val="3"/>
              </w:rPr>
              <w:t>600777</w:t>
            </w:r>
          </w:p>
        </w:tc>
        <w:tc>
          <w:tcPr>
            <w:shd w:val="clear" w:fill="B8CCE4"/>
            <w:tcW w:w="1343" w:type="dxa"/>
            <w:vAlign w:val="top"/>
          </w:tcPr>
          <w:p>
            <w:pPr>
              <w:spacing w:line="272" w:lineRule="auto"/>
              <w:rPr>
                <w:rFonts w:ascii="Arial"/>
                <w:sz w:val="21"/>
              </w:rPr>
            </w:pPr>
            <w:r/>
          </w:p>
          <w:p>
            <w:pPr>
              <w:spacing w:line="272" w:lineRule="auto"/>
              <w:rPr>
                <w:rFonts w:ascii="Arial"/>
                <w:sz w:val="21"/>
              </w:rPr>
            </w:pPr>
            <w:r/>
          </w:p>
          <w:p>
            <w:pPr>
              <w:pStyle w:val="TableText"/>
              <w:ind w:left="315"/>
              <w:spacing w:before="86" w:line="189" w:lineRule="auto"/>
              <w:rPr/>
            </w:pPr>
            <w:r>
              <w:rPr/>
              <w:t>ST</w:t>
            </w:r>
            <w:r>
              <w:rPr>
                <w:spacing w:val="2"/>
              </w:rPr>
              <w:t xml:space="preserve"> 新潮</w:t>
            </w:r>
          </w:p>
        </w:tc>
        <w:tc>
          <w:tcPr>
            <w:shd w:val="clear" w:fill="B8CCE4"/>
            <w:tcW w:w="6715" w:type="dxa"/>
            <w:vAlign w:val="top"/>
          </w:tcPr>
          <w:p>
            <w:pPr>
              <w:pStyle w:val="TableText"/>
              <w:ind w:left="98" w:right="105"/>
              <w:spacing w:before="50" w:line="242" w:lineRule="auto"/>
              <w:rPr/>
            </w:pPr>
            <w:r>
              <w:rPr>
                <w:spacing w:val="11"/>
              </w:rPr>
              <w:t>股东及其一致行动人累计持有 </w:t>
            </w:r>
            <w:r>
              <w:rPr/>
              <w:t>ST</w:t>
            </w:r>
            <w:r>
              <w:rPr>
                <w:spacing w:val="11"/>
              </w:rPr>
              <w:t xml:space="preserve"> 新潮股份</w:t>
            </w:r>
            <w:r>
              <w:rPr>
                <w:b/>
                <w:bCs/>
                <w:spacing w:val="11"/>
              </w:rPr>
              <w:t>达到 5%时及每增加 5%</w:t>
            </w:r>
            <w:r>
              <w:rPr>
                <w:b/>
                <w:bCs/>
                <w:spacing w:val="-16"/>
              </w:rPr>
              <w:t xml:space="preserve"> </w:t>
            </w:r>
            <w:r>
              <w:rPr>
                <w:spacing w:val="11"/>
              </w:rPr>
              <w:t>，</w:t>
            </w:r>
            <w:r>
              <w:rPr/>
              <w:t xml:space="preserve"> </w:t>
            </w:r>
            <w:r>
              <w:rPr>
                <w:spacing w:val="11"/>
              </w:rPr>
              <w:t>汇能海投及相关主体未按规定履行报告、公告义务并停止买卖 </w:t>
            </w:r>
            <w:r>
              <w:rPr/>
              <w:t>ST</w:t>
            </w:r>
            <w:r>
              <w:rPr>
                <w:spacing w:val="11"/>
              </w:rPr>
              <w:t xml:space="preserve"> 新潮</w:t>
            </w:r>
            <w:r>
              <w:rPr>
                <w:spacing w:val="5"/>
              </w:rPr>
              <w:t xml:space="preserve"> </w:t>
            </w:r>
            <w:r>
              <w:rPr>
                <w:spacing w:val="8"/>
              </w:rPr>
              <w:t>股票； 在上述主体</w:t>
            </w:r>
            <w:r>
              <w:rPr>
                <w:b/>
                <w:bCs/>
                <w:spacing w:val="8"/>
              </w:rPr>
              <w:t>累计持有 </w:t>
            </w:r>
            <w:r>
              <w:rPr>
                <w:b/>
                <w:bCs/>
              </w:rPr>
              <w:t>ST</w:t>
            </w:r>
            <w:r>
              <w:rPr>
                <w:b/>
                <w:bCs/>
                <w:spacing w:val="8"/>
              </w:rPr>
              <w:t xml:space="preserve"> 新潮股份达到 5%后每增加</w:t>
            </w:r>
            <w:r>
              <w:rPr>
                <w:b/>
                <w:bCs/>
                <w:spacing w:val="7"/>
              </w:rPr>
              <w:t xml:space="preserve"> 1%</w:t>
            </w:r>
            <w:r>
              <w:rPr>
                <w:spacing w:val="7"/>
              </w:rPr>
              <w:t>， 也未</w:t>
            </w:r>
            <w:r>
              <w:rPr/>
              <w:t xml:space="preserve"> </w:t>
            </w:r>
            <w:r>
              <w:rPr>
                <w:spacing w:val="8"/>
              </w:rPr>
              <w:t>按规定通知上市公司并公告。</w:t>
            </w:r>
          </w:p>
        </w:tc>
      </w:tr>
      <w:tr>
        <w:trPr>
          <w:trHeight w:val="1092" w:hRule="atLeast"/>
        </w:trPr>
        <w:tc>
          <w:tcPr>
            <w:tcW w:w="9272" w:type="dxa"/>
            <w:vAlign w:val="top"/>
            <w:gridSpan w:val="3"/>
          </w:tcPr>
          <w:p>
            <w:pPr>
              <w:pStyle w:val="TableText"/>
              <w:ind w:left="105" w:right="171" w:firstLine="17"/>
              <w:spacing w:before="52"/>
              <w:jc w:val="both"/>
              <w:rPr/>
            </w:pPr>
            <w:r>
              <w:rPr>
                <w:b/>
                <w:bCs/>
                <w:spacing w:val="8"/>
              </w:rPr>
              <w:t>【行政监管措施】</w:t>
            </w:r>
            <w:r>
              <w:rPr>
                <w:b/>
                <w:bCs/>
                <w:spacing w:val="-31"/>
              </w:rPr>
              <w:t xml:space="preserve"> </w:t>
            </w:r>
            <w:r>
              <w:rPr>
                <w:spacing w:val="8"/>
              </w:rPr>
              <w:t>中国证券监督管理委员会山东监管局决定对北京汇能海</w:t>
            </w:r>
            <w:r>
              <w:rPr>
                <w:spacing w:val="7"/>
              </w:rPr>
              <w:t>投新能源开发有限公司、</w:t>
            </w:r>
            <w:r>
              <w:rPr/>
              <w:t xml:space="preserve"> </w:t>
            </w:r>
            <w:r>
              <w:rPr>
                <w:spacing w:val="8"/>
              </w:rPr>
              <w:t>北京盛邦科华商贸有限公司、</w:t>
            </w:r>
            <w:r>
              <w:rPr>
                <w:spacing w:val="-14"/>
              </w:rPr>
              <w:t xml:space="preserve"> </w:t>
            </w:r>
            <w:r>
              <w:rPr>
                <w:spacing w:val="8"/>
              </w:rPr>
              <w:t>内蒙古伯纳程私募基金管理有限公司、</w:t>
            </w:r>
            <w:r>
              <w:rPr>
                <w:spacing w:val="-27"/>
              </w:rPr>
              <w:t xml:space="preserve"> </w:t>
            </w:r>
            <w:r>
              <w:rPr>
                <w:spacing w:val="8"/>
              </w:rPr>
              <w:t>内蒙古梵海投资管理有限公</w:t>
            </w:r>
            <w:r>
              <w:rPr/>
              <w:t xml:space="preserve">    </w:t>
            </w:r>
            <w:r>
              <w:rPr>
                <w:spacing w:val="6"/>
              </w:rPr>
              <w:t>司，</w:t>
            </w:r>
            <w:r>
              <w:rPr>
                <w:spacing w:val="22"/>
                <w:w w:val="101"/>
              </w:rPr>
              <w:t xml:space="preserve"> </w:t>
            </w:r>
            <w:r>
              <w:rPr>
                <w:spacing w:val="6"/>
              </w:rPr>
              <w:t>吕某雄、李某静采取责令改正的监督管理措施， 并记入证券期货市场诚信档案数据</w:t>
            </w:r>
            <w:r>
              <w:rPr>
                <w:spacing w:val="5"/>
              </w:rPr>
              <w:t>库。</w:t>
            </w:r>
          </w:p>
        </w:tc>
      </w:tr>
    </w:tbl>
    <w:p>
      <w:pPr>
        <w:pStyle w:val="BodyText"/>
        <w:rPr/>
      </w:pPr>
      <w:r/>
    </w:p>
    <w:p>
      <w:pPr>
        <w:sectPr>
          <w:pgSz w:w="11910" w:h="16840"/>
          <w:pgMar w:top="400" w:right="1394" w:bottom="400" w:left="1228" w:header="0" w:footer="0" w:gutter="0"/>
        </w:sectPr>
        <w:rPr/>
      </w:pPr>
    </w:p>
    <w:tbl>
      <w:tblPr>
        <w:tblStyle w:val="TableNormal"/>
        <w:tblW w:w="9272" w:type="dxa"/>
        <w:tblInd w:w="478" w:type="dxa"/>
        <w:tblLayout w:type="fixed"/>
        <w:tblBorders>
          <w:top w:val="single" w:color="4F81BD" w:sz="6" w:space="0"/>
          <w:left w:val="single" w:color="4F81BD" w:sz="6" w:space="0"/>
          <w:bottom w:val="single" w:color="4F81BD" w:sz="6" w:space="0"/>
          <w:right w:val="single" w:color="4F81BD" w:sz="6" w:space="0"/>
          <w:insideH w:val="single" w:color="4F81BD" w:sz="6" w:space="0"/>
          <w:insideV w:val="single" w:color="4F81BD" w:sz="6" w:space="0"/>
        </w:tblBorders>
      </w:tblPr>
      <w:tblGrid>
        <w:gridCol w:w="1214"/>
        <w:gridCol w:w="1343"/>
        <w:gridCol w:w="6715"/>
      </w:tblGrid>
      <w:tr>
        <w:trPr>
          <w:trHeight w:val="742" w:hRule="atLeast"/>
        </w:trPr>
        <w:tc>
          <w:tcPr>
            <w:shd w:val="clear" w:fill="B8CCE4"/>
            <w:tcW w:w="1214" w:type="dxa"/>
            <w:vAlign w:val="top"/>
            <w:tcBorders>
              <w:top w:val="single" w:color="FFFFFF" w:sz="2" w:space="0"/>
            </w:tcBorders>
          </w:tcPr>
          <w:p>
            <w:pPr>
              <w:pStyle w:val="TableText"/>
              <w:ind w:left="236"/>
              <w:spacing w:before="295" w:line="178" w:lineRule="auto"/>
              <w:rPr/>
            </w:pPr>
            <w:r>
              <w:rPr>
                <w:spacing w:val="3"/>
              </w:rPr>
              <w:t>002229</w:t>
            </w:r>
          </w:p>
        </w:tc>
        <w:tc>
          <w:tcPr>
            <w:shd w:val="clear" w:fill="B8CCE4"/>
            <w:tcW w:w="1343" w:type="dxa"/>
            <w:vAlign w:val="top"/>
            <w:tcBorders>
              <w:top w:val="single" w:color="FFFFFF" w:sz="2" w:space="0"/>
            </w:tcBorders>
          </w:tcPr>
          <w:p>
            <w:pPr>
              <w:pStyle w:val="TableText"/>
              <w:ind w:left="244"/>
              <w:spacing w:before="280" w:line="189" w:lineRule="auto"/>
              <w:rPr/>
            </w:pPr>
            <w:r>
              <w:rPr>
                <w:spacing w:val="8"/>
              </w:rPr>
              <w:t>鸿博股份</w:t>
            </w:r>
          </w:p>
        </w:tc>
        <w:tc>
          <w:tcPr>
            <w:shd w:val="clear" w:fill="B8CCE4"/>
            <w:tcW w:w="6715" w:type="dxa"/>
            <w:vAlign w:val="top"/>
            <w:tcBorders>
              <w:top w:val="single" w:color="FFFFFF" w:sz="2" w:space="0"/>
            </w:tcBorders>
          </w:tcPr>
          <w:p>
            <w:pPr>
              <w:pStyle w:val="TableText"/>
              <w:ind w:left="99" w:right="103" w:firstLine="8"/>
              <w:spacing w:before="102" w:line="220" w:lineRule="auto"/>
              <w:rPr/>
            </w:pPr>
            <w:r>
              <w:rPr>
                <w:spacing w:val="7"/>
              </w:rPr>
              <w:t>寓泰控股、辉熠贸易不晚于 2023 年 8 月</w:t>
            </w:r>
            <w:r>
              <w:rPr>
                <w:spacing w:val="29"/>
              </w:rPr>
              <w:t xml:space="preserve"> </w:t>
            </w:r>
            <w:r>
              <w:rPr>
                <w:spacing w:val="7"/>
              </w:rPr>
              <w:t>14</w:t>
            </w:r>
            <w:r>
              <w:rPr>
                <w:spacing w:val="30"/>
              </w:rPr>
              <w:t xml:space="preserve"> </w:t>
            </w:r>
            <w:r>
              <w:rPr>
                <w:spacing w:val="7"/>
              </w:rPr>
              <w:t>日知悉所持公司股份存在</w:t>
            </w:r>
            <w:r>
              <w:rPr/>
              <w:t xml:space="preserve"> </w:t>
            </w:r>
            <w:r>
              <w:rPr>
                <w:b/>
                <w:bCs/>
                <w:spacing w:val="9"/>
              </w:rPr>
              <w:t>被强制过户风险</w:t>
            </w:r>
            <w:r>
              <w:rPr>
                <w:spacing w:val="9"/>
              </w:rPr>
              <w:t>但未及时配合公司履行信息披露义务。</w:t>
            </w:r>
          </w:p>
        </w:tc>
      </w:tr>
      <w:tr>
        <w:trPr>
          <w:trHeight w:val="724" w:hRule="atLeast"/>
        </w:trPr>
        <w:tc>
          <w:tcPr>
            <w:tcW w:w="9272" w:type="dxa"/>
            <w:vAlign w:val="top"/>
            <w:gridSpan w:val="3"/>
          </w:tcPr>
          <w:p>
            <w:pPr>
              <w:pStyle w:val="TableText"/>
              <w:ind w:left="105" w:right="125" w:firstLine="17"/>
              <w:spacing w:before="41" w:line="235" w:lineRule="auto"/>
              <w:rPr/>
            </w:pPr>
            <w:r>
              <w:rPr>
                <w:b/>
                <w:bCs/>
                <w:spacing w:val="9"/>
              </w:rPr>
              <w:t>【行政监管措施】</w:t>
            </w:r>
            <w:r>
              <w:rPr>
                <w:b/>
                <w:bCs/>
                <w:spacing w:val="-31"/>
              </w:rPr>
              <w:t xml:space="preserve"> </w:t>
            </w:r>
            <w:r>
              <w:rPr>
                <w:spacing w:val="9"/>
              </w:rPr>
              <w:t>中国证券监督管理委员会福建监管局决定对寓泰控股、辉熠贸</w:t>
            </w:r>
            <w:r>
              <w:rPr>
                <w:spacing w:val="8"/>
              </w:rPr>
              <w:t>易、黎某林、杨某</w:t>
            </w:r>
            <w:r>
              <w:rPr/>
              <w:t xml:space="preserve"> </w:t>
            </w:r>
            <w:r>
              <w:rPr>
                <w:spacing w:val="7"/>
              </w:rPr>
              <w:t>采取出具警示函的监督管理措施， 并记入证券期货市场诚信档案数据库。</w:t>
            </w:r>
          </w:p>
        </w:tc>
      </w:tr>
      <w:tr>
        <w:trPr>
          <w:trHeight w:val="723" w:hRule="atLeast"/>
        </w:trPr>
        <w:tc>
          <w:tcPr>
            <w:shd w:val="clear" w:fill="B8CCE4"/>
            <w:tcW w:w="1214" w:type="dxa"/>
            <w:vAlign w:val="top"/>
          </w:tcPr>
          <w:p>
            <w:pPr>
              <w:pStyle w:val="TableText"/>
              <w:ind w:left="237"/>
              <w:spacing w:before="279" w:line="178" w:lineRule="auto"/>
              <w:rPr/>
            </w:pPr>
            <w:r>
              <w:rPr>
                <w:spacing w:val="3"/>
              </w:rPr>
              <w:t>870436</w:t>
            </w:r>
          </w:p>
        </w:tc>
        <w:tc>
          <w:tcPr>
            <w:shd w:val="clear" w:fill="B8CCE4"/>
            <w:tcW w:w="1343" w:type="dxa"/>
            <w:vAlign w:val="top"/>
          </w:tcPr>
          <w:p>
            <w:pPr>
              <w:pStyle w:val="TableText"/>
              <w:ind w:left="243"/>
              <w:spacing w:before="264" w:line="189" w:lineRule="auto"/>
              <w:rPr/>
            </w:pPr>
            <w:r>
              <w:rPr>
                <w:spacing w:val="8"/>
              </w:rPr>
              <w:t>大地电气</w:t>
            </w:r>
          </w:p>
        </w:tc>
        <w:tc>
          <w:tcPr>
            <w:shd w:val="clear" w:fill="B8CCE4"/>
            <w:tcW w:w="6715" w:type="dxa"/>
            <w:vAlign w:val="top"/>
          </w:tcPr>
          <w:p>
            <w:pPr>
              <w:pStyle w:val="TableText"/>
              <w:ind w:left="99" w:right="103"/>
              <w:spacing w:before="83" w:line="220" w:lineRule="auto"/>
              <w:rPr/>
            </w:pPr>
            <w:r>
              <w:rPr>
                <w:spacing w:val="14"/>
              </w:rPr>
              <w:t>公司业绩预告披露的预计净利润不准确,与年度报告披露的经审计净利</w:t>
            </w:r>
            <w:r>
              <w:rPr>
                <w:spacing w:val="13"/>
              </w:rPr>
              <w:t xml:space="preserve"> </w:t>
            </w:r>
            <w:r>
              <w:rPr>
                <w:spacing w:val="8"/>
              </w:rPr>
              <w:t>润差异较大,修正不及时。</w:t>
            </w:r>
          </w:p>
        </w:tc>
      </w:tr>
      <w:tr>
        <w:trPr>
          <w:trHeight w:val="1082" w:hRule="atLeast"/>
        </w:trPr>
        <w:tc>
          <w:tcPr>
            <w:tcW w:w="9272" w:type="dxa"/>
            <w:vAlign w:val="top"/>
            <w:gridSpan w:val="3"/>
          </w:tcPr>
          <w:p>
            <w:pPr>
              <w:pStyle w:val="TableText"/>
              <w:ind w:left="106" w:right="125" w:firstLine="16"/>
              <w:spacing w:before="46" w:line="239" w:lineRule="auto"/>
              <w:jc w:val="both"/>
              <w:rPr/>
            </w:pPr>
            <w:r>
              <w:rPr>
                <w:b/>
                <w:bCs/>
                <w:spacing w:val="9"/>
              </w:rPr>
              <w:t>【行政监管措施】</w:t>
            </w:r>
            <w:r>
              <w:rPr>
                <w:b/>
                <w:bCs/>
                <w:spacing w:val="-31"/>
              </w:rPr>
              <w:t xml:space="preserve"> </w:t>
            </w:r>
            <w:r>
              <w:rPr>
                <w:spacing w:val="9"/>
              </w:rPr>
              <w:t>中国证券监督管理委员会江苏监管局决定对公司、相关责任人</w:t>
            </w:r>
            <w:r>
              <w:rPr>
                <w:spacing w:val="8"/>
              </w:rPr>
              <w:t>采取出具警示函的</w:t>
            </w:r>
            <w:r>
              <w:rPr/>
              <w:t xml:space="preserve"> </w:t>
            </w:r>
            <w:r>
              <w:rPr>
                <w:spacing w:val="10"/>
              </w:rPr>
              <w:t>行政监管措施,并记入证券期货市场诚信档案。</w:t>
            </w:r>
            <w:r>
              <w:rPr>
                <w:spacing w:val="9"/>
              </w:rPr>
              <w:t>收到本决定起十个工作日内,向中国证券监督管理委</w:t>
            </w:r>
            <w:r>
              <w:rPr/>
              <w:t xml:space="preserve">   </w:t>
            </w:r>
            <w:r>
              <w:rPr>
                <w:spacing w:val="8"/>
              </w:rPr>
              <w:t>员会江苏监管局提交书面报告。</w:t>
            </w:r>
          </w:p>
        </w:tc>
      </w:tr>
      <w:tr>
        <w:trPr>
          <w:trHeight w:val="723" w:hRule="atLeast"/>
        </w:trPr>
        <w:tc>
          <w:tcPr>
            <w:shd w:val="clear" w:fill="B8CCE4"/>
            <w:tcW w:w="1214" w:type="dxa"/>
            <w:vAlign w:val="top"/>
          </w:tcPr>
          <w:p>
            <w:pPr>
              <w:pStyle w:val="TableText"/>
              <w:ind w:left="237"/>
              <w:spacing w:before="284" w:line="179" w:lineRule="auto"/>
              <w:rPr/>
            </w:pPr>
            <w:r>
              <w:rPr>
                <w:spacing w:val="3"/>
              </w:rPr>
              <w:t>834014</w:t>
            </w:r>
          </w:p>
        </w:tc>
        <w:tc>
          <w:tcPr>
            <w:shd w:val="clear" w:fill="B8CCE4"/>
            <w:tcW w:w="1343" w:type="dxa"/>
            <w:vAlign w:val="top"/>
          </w:tcPr>
          <w:p>
            <w:pPr>
              <w:pStyle w:val="TableText"/>
              <w:ind w:left="344"/>
              <w:spacing w:before="272" w:line="188" w:lineRule="auto"/>
              <w:rPr/>
            </w:pPr>
            <w:r>
              <w:rPr>
                <w:spacing w:val="9"/>
              </w:rPr>
              <w:t>特瑞斯</w:t>
            </w:r>
          </w:p>
        </w:tc>
        <w:tc>
          <w:tcPr>
            <w:shd w:val="clear" w:fill="B8CCE4"/>
            <w:tcW w:w="6715" w:type="dxa"/>
            <w:vAlign w:val="top"/>
          </w:tcPr>
          <w:p>
            <w:pPr>
              <w:pStyle w:val="TableText"/>
              <w:ind w:left="98" w:right="105" w:firstLine="11"/>
              <w:spacing w:before="89" w:line="218" w:lineRule="auto"/>
              <w:rPr/>
            </w:pPr>
            <w:r>
              <w:rPr>
                <w:spacing w:val="8"/>
              </w:rPr>
              <w:t>闲置募集资金进行现金管理的期限超过 12 个月,公司未及时履行审议程</w:t>
            </w:r>
            <w:r>
              <w:rPr>
                <w:spacing w:val="9"/>
              </w:rPr>
              <w:t xml:space="preserve"> </w:t>
            </w:r>
            <w:r>
              <w:rPr>
                <w:spacing w:val="8"/>
              </w:rPr>
              <w:t>序和信息披露义务。</w:t>
            </w:r>
          </w:p>
        </w:tc>
      </w:tr>
      <w:tr>
        <w:trPr>
          <w:trHeight w:val="733" w:hRule="atLeast"/>
        </w:trPr>
        <w:tc>
          <w:tcPr>
            <w:tcW w:w="9272" w:type="dxa"/>
            <w:vAlign w:val="top"/>
            <w:gridSpan w:val="3"/>
          </w:tcPr>
          <w:p>
            <w:pPr>
              <w:pStyle w:val="TableText"/>
              <w:ind w:left="106" w:right="125" w:firstLine="16"/>
              <w:spacing w:before="50" w:line="235" w:lineRule="auto"/>
              <w:rPr/>
            </w:pPr>
            <w:r>
              <w:rPr>
                <w:b/>
                <w:bCs/>
                <w:spacing w:val="9"/>
              </w:rPr>
              <w:t>【行政监管措施】</w:t>
            </w:r>
            <w:r>
              <w:rPr>
                <w:b/>
                <w:bCs/>
                <w:spacing w:val="-31"/>
              </w:rPr>
              <w:t xml:space="preserve"> </w:t>
            </w:r>
            <w:r>
              <w:rPr>
                <w:spacing w:val="9"/>
              </w:rPr>
              <w:t>中国证券监督管理委员会江苏监管局决定对公司、相关责任人</w:t>
            </w:r>
            <w:r>
              <w:rPr>
                <w:spacing w:val="8"/>
              </w:rPr>
              <w:t>采取出具警示函的</w:t>
            </w:r>
            <w:r>
              <w:rPr/>
              <w:t xml:space="preserve"> </w:t>
            </w:r>
            <w:r>
              <w:rPr>
                <w:spacing w:val="8"/>
              </w:rPr>
              <w:t>行政监管措施,并记入证券期货市场诚信档案。</w:t>
            </w:r>
          </w:p>
        </w:tc>
      </w:tr>
    </w:tbl>
    <w:p>
      <w:pPr>
        <w:pStyle w:val="BodyText"/>
        <w:spacing w:line="288" w:lineRule="auto"/>
        <w:rPr/>
      </w:pPr>
      <w:r/>
    </w:p>
    <w:p>
      <w:pPr>
        <w:spacing w:before="103" w:line="225" w:lineRule="auto"/>
        <w:outlineLvl w:val="1"/>
        <w:rPr>
          <w:rFonts w:ascii="Microsoft YaHei" w:hAnsi="Microsoft YaHei" w:eastAsia="Microsoft YaHei" w:cs="Microsoft YaHei"/>
          <w:sz w:val="24"/>
          <w:szCs w:val="24"/>
        </w:rPr>
      </w:pPr>
      <w:r>
        <w:rPr>
          <w:rFonts w:ascii="Microsoft YaHei" w:hAnsi="Microsoft YaHei" w:eastAsia="Microsoft YaHei" w:cs="Microsoft YaHei"/>
          <w:sz w:val="24"/>
          <w:szCs w:val="24"/>
          <w:b/>
          <w:bCs/>
          <w:spacing w:val="-14"/>
        </w:rPr>
        <w:t>（4） 立案调查</w:t>
      </w:r>
    </w:p>
    <w:p>
      <w:pPr>
        <w:spacing w:line="174" w:lineRule="exact"/>
        <w:rPr/>
      </w:pPr>
      <w:r/>
    </w:p>
    <w:tbl>
      <w:tblPr>
        <w:tblStyle w:val="TableNormal"/>
        <w:tblW w:w="9159" w:type="dxa"/>
        <w:tblInd w:w="517" w:type="dxa"/>
        <w:tblLayout w:type="fixed"/>
        <w:tblBorders>
          <w:top w:val="single" w:color="4F81BD" w:sz="6" w:space="0"/>
          <w:left w:val="single" w:color="4F81BD" w:sz="6" w:space="0"/>
          <w:bottom w:val="single" w:color="4F81BD" w:sz="6" w:space="0"/>
          <w:right w:val="single" w:color="4F81BD" w:sz="6" w:space="0"/>
          <w:insideH w:val="single" w:color="4F81BD" w:sz="6" w:space="0"/>
          <w:insideV w:val="single" w:color="4F81BD" w:sz="6" w:space="0"/>
        </w:tblBorders>
      </w:tblPr>
      <w:tblGrid>
        <w:gridCol w:w="1710"/>
        <w:gridCol w:w="1343"/>
        <w:gridCol w:w="6106"/>
      </w:tblGrid>
      <w:tr>
        <w:trPr>
          <w:trHeight w:val="385" w:hRule="atLeast"/>
        </w:trPr>
        <w:tc>
          <w:tcPr>
            <w:shd w:val="clear" w:fill="4F81BD"/>
            <w:tcW w:w="1710" w:type="dxa"/>
            <w:vAlign w:val="top"/>
            <w:tcBorders>
              <w:bottom w:val="single" w:color="FFFFFF" w:sz="2" w:space="0"/>
            </w:tcBorders>
          </w:tcPr>
          <w:p>
            <w:pPr>
              <w:pStyle w:val="TableText"/>
              <w:ind w:left="430"/>
              <w:spacing w:before="107" w:line="187" w:lineRule="auto"/>
              <w:rPr/>
            </w:pPr>
            <w:r>
              <w:rPr>
                <w:b/>
                <w:bCs/>
                <w:color w:val="FFFFFF"/>
                <w:spacing w:val="8"/>
              </w:rPr>
              <w:t>公司代码</w:t>
            </w:r>
          </w:p>
        </w:tc>
        <w:tc>
          <w:tcPr>
            <w:shd w:val="clear" w:fill="4F81BD"/>
            <w:tcW w:w="1343" w:type="dxa"/>
            <w:vAlign w:val="top"/>
            <w:tcBorders>
              <w:bottom w:val="single" w:color="FFFFFF" w:sz="2" w:space="0"/>
            </w:tcBorders>
          </w:tcPr>
          <w:p>
            <w:pPr>
              <w:pStyle w:val="TableText"/>
              <w:ind w:left="244"/>
              <w:spacing w:before="107" w:line="187" w:lineRule="auto"/>
              <w:rPr/>
            </w:pPr>
            <w:r>
              <w:rPr>
                <w:b/>
                <w:bCs/>
                <w:color w:val="FFFFFF"/>
                <w:spacing w:val="8"/>
              </w:rPr>
              <w:t>公司简称</w:t>
            </w:r>
          </w:p>
        </w:tc>
        <w:tc>
          <w:tcPr>
            <w:shd w:val="clear" w:fill="4F81BD"/>
            <w:tcW w:w="6106" w:type="dxa"/>
            <w:vAlign w:val="top"/>
            <w:tcBorders>
              <w:bottom w:val="single" w:color="FFFFFF" w:sz="2" w:space="0"/>
            </w:tcBorders>
          </w:tcPr>
          <w:p>
            <w:pPr>
              <w:pStyle w:val="TableText"/>
              <w:ind w:left="2625"/>
              <w:spacing w:before="107" w:line="187" w:lineRule="auto"/>
              <w:rPr/>
            </w:pPr>
            <w:r>
              <w:rPr>
                <w:b/>
                <w:bCs/>
                <w:color w:val="FFFFFF"/>
                <w:spacing w:val="8"/>
              </w:rPr>
              <w:t>违规行为</w:t>
            </w:r>
          </w:p>
        </w:tc>
      </w:tr>
      <w:tr>
        <w:trPr>
          <w:trHeight w:val="1084" w:hRule="atLeast"/>
        </w:trPr>
        <w:tc>
          <w:tcPr>
            <w:shd w:val="clear" w:fill="B8CCE4"/>
            <w:tcW w:w="1710" w:type="dxa"/>
            <w:vAlign w:val="top"/>
            <w:tcBorders>
              <w:top w:val="single" w:color="FFFFFF" w:sz="2" w:space="0"/>
            </w:tcBorders>
          </w:tcPr>
          <w:p>
            <w:pPr>
              <w:spacing w:line="374" w:lineRule="auto"/>
              <w:rPr>
                <w:rFonts w:ascii="Arial"/>
                <w:sz w:val="21"/>
              </w:rPr>
            </w:pPr>
            <w:r/>
          </w:p>
          <w:p>
            <w:pPr>
              <w:pStyle w:val="TableText"/>
              <w:ind w:left="491"/>
              <w:spacing w:before="85" w:line="178" w:lineRule="auto"/>
              <w:rPr/>
            </w:pPr>
            <w:r>
              <w:rPr>
                <w:spacing w:val="3"/>
              </w:rPr>
              <w:t>300742</w:t>
            </w:r>
          </w:p>
        </w:tc>
        <w:tc>
          <w:tcPr>
            <w:shd w:val="clear" w:fill="B8CCE4"/>
            <w:tcW w:w="1343" w:type="dxa"/>
            <w:vAlign w:val="top"/>
            <w:tcBorders>
              <w:top w:val="single" w:color="FFFFFF" w:sz="2" w:space="0"/>
            </w:tcBorders>
          </w:tcPr>
          <w:p>
            <w:pPr>
              <w:spacing w:line="360" w:lineRule="auto"/>
              <w:rPr>
                <w:rFonts w:ascii="Arial"/>
                <w:sz w:val="21"/>
              </w:rPr>
            </w:pPr>
            <w:r/>
          </w:p>
          <w:p>
            <w:pPr>
              <w:pStyle w:val="TableText"/>
              <w:ind w:left="347"/>
              <w:spacing w:before="86" w:line="188" w:lineRule="auto"/>
              <w:rPr/>
            </w:pPr>
            <w:r>
              <w:rPr>
                <w:spacing w:val="8"/>
              </w:rPr>
              <w:t>越博退</w:t>
            </w:r>
          </w:p>
        </w:tc>
        <w:tc>
          <w:tcPr>
            <w:shd w:val="clear" w:fill="B8CCE4"/>
            <w:tcW w:w="6106" w:type="dxa"/>
            <w:vAlign w:val="top"/>
            <w:tcBorders>
              <w:top w:val="single" w:color="FFFFFF" w:sz="2" w:space="0"/>
            </w:tcBorders>
          </w:tcPr>
          <w:p>
            <w:pPr>
              <w:pStyle w:val="TableText"/>
              <w:ind w:left="101" w:right="113" w:firstLine="12"/>
              <w:spacing w:before="48" w:line="239" w:lineRule="auto"/>
              <w:jc w:val="both"/>
              <w:rPr/>
            </w:pPr>
            <w:r>
              <w:rPr>
                <w:spacing w:val="7"/>
              </w:rPr>
              <w:t>因</w:t>
            </w:r>
            <w:r>
              <w:rPr>
                <w:b/>
                <w:bCs/>
                <w:spacing w:val="7"/>
              </w:rPr>
              <w:t>涉嫌信息披露违法违规</w:t>
            </w:r>
            <w:r>
              <w:rPr>
                <w:spacing w:val="7"/>
              </w:rPr>
              <w:t>， 根据《中华人民共和国证券法》《中</w:t>
            </w:r>
            <w:r>
              <w:rPr/>
              <w:t xml:space="preserve"> </w:t>
            </w:r>
            <w:r>
              <w:rPr>
                <w:spacing w:val="7"/>
              </w:rPr>
              <w:t>华人民共和国行政处罚法》等法律法规， 中国证监会决定对公司</w:t>
            </w:r>
            <w:r>
              <w:rPr>
                <w:spacing w:val="10"/>
              </w:rPr>
              <w:t xml:space="preserve"> </w:t>
            </w:r>
            <w:r>
              <w:rPr>
                <w:spacing w:val="4"/>
              </w:rPr>
              <w:t>立案。</w:t>
            </w:r>
          </w:p>
        </w:tc>
      </w:tr>
      <w:tr>
        <w:trPr>
          <w:trHeight w:val="1089" w:hRule="atLeast"/>
        </w:trPr>
        <w:tc>
          <w:tcPr>
            <w:tcW w:w="1710" w:type="dxa"/>
            <w:vAlign w:val="top"/>
          </w:tcPr>
          <w:p>
            <w:pPr>
              <w:spacing w:line="376" w:lineRule="auto"/>
              <w:rPr>
                <w:rFonts w:ascii="Arial"/>
                <w:sz w:val="21"/>
              </w:rPr>
            </w:pPr>
            <w:r/>
          </w:p>
          <w:p>
            <w:pPr>
              <w:pStyle w:val="TableText"/>
              <w:ind w:left="488"/>
              <w:spacing w:before="86" w:line="178" w:lineRule="auto"/>
              <w:rPr/>
            </w:pPr>
            <w:r>
              <w:rPr>
                <w:spacing w:val="3"/>
              </w:rPr>
              <w:t>603353</w:t>
            </w:r>
          </w:p>
        </w:tc>
        <w:tc>
          <w:tcPr>
            <w:tcW w:w="1343" w:type="dxa"/>
            <w:vAlign w:val="top"/>
          </w:tcPr>
          <w:p>
            <w:pPr>
              <w:spacing w:line="363" w:lineRule="auto"/>
              <w:rPr>
                <w:rFonts w:ascii="Arial"/>
                <w:sz w:val="21"/>
              </w:rPr>
            </w:pPr>
            <w:r/>
          </w:p>
          <w:p>
            <w:pPr>
              <w:pStyle w:val="TableText"/>
              <w:ind w:left="242"/>
              <w:spacing w:before="86" w:line="188" w:lineRule="auto"/>
              <w:rPr/>
            </w:pPr>
            <w:r>
              <w:rPr>
                <w:spacing w:val="8"/>
              </w:rPr>
              <w:t>和顺石油</w:t>
            </w:r>
          </w:p>
        </w:tc>
        <w:tc>
          <w:tcPr>
            <w:tcW w:w="6106" w:type="dxa"/>
            <w:vAlign w:val="top"/>
          </w:tcPr>
          <w:p>
            <w:pPr>
              <w:pStyle w:val="TableText"/>
              <w:ind w:left="100" w:right="113" w:firstLine="14"/>
              <w:spacing w:before="49"/>
              <w:rPr/>
            </w:pPr>
            <w:r>
              <w:rPr>
                <w:spacing w:val="7"/>
              </w:rPr>
              <w:t>因</w:t>
            </w:r>
            <w:r>
              <w:rPr>
                <w:b/>
                <w:bCs/>
                <w:spacing w:val="7"/>
              </w:rPr>
              <w:t>董事涉嫌短线交易和顺石油股票</w:t>
            </w:r>
            <w:r>
              <w:rPr>
                <w:spacing w:val="7"/>
              </w:rPr>
              <w:t>， 根据《中华人民共和国证券</w:t>
            </w:r>
            <w:r>
              <w:rPr/>
              <w:t xml:space="preserve"> </w:t>
            </w:r>
            <w:r>
              <w:rPr>
                <w:spacing w:val="7"/>
              </w:rPr>
              <w:t>法》《中华人民共和国行政处罚法》等法律法规， 决定对其立</w:t>
            </w:r>
            <w:r>
              <w:rPr>
                <w:spacing w:val="2"/>
              </w:rPr>
              <w:t xml:space="preserve">    </w:t>
            </w:r>
            <w:r>
              <w:rPr>
                <w:spacing w:val="3"/>
              </w:rPr>
              <w:t>案。</w:t>
            </w:r>
          </w:p>
        </w:tc>
      </w:tr>
    </w:tbl>
    <w:p>
      <w:pPr>
        <w:pStyle w:val="BodyText"/>
        <w:rPr/>
      </w:pPr>
      <w:r/>
    </w:p>
    <w:p>
      <w:pPr>
        <w:sectPr>
          <w:pgSz w:w="11910" w:h="16840"/>
          <w:pgMar w:top="400" w:right="1394" w:bottom="400" w:left="757" w:header="0" w:footer="0" w:gutter="0"/>
        </w:sectPr>
        <w:rPr/>
      </w:pPr>
    </w:p>
    <w:p>
      <w:pPr>
        <w:ind w:left="1653"/>
        <w:spacing w:before="2" w:line="185" w:lineRule="auto"/>
        <w:rPr>
          <w:rFonts w:ascii="Microsoft YaHei" w:hAnsi="Microsoft YaHei" w:eastAsia="Microsoft YaHei" w:cs="Microsoft YaHei"/>
          <w:sz w:val="43"/>
          <w:szCs w:val="43"/>
        </w:rPr>
      </w:pPr>
      <w:r>
        <w:pict>
          <v:group id="_x0000_s28" style="position:absolute;margin-left:0.72pt;margin-top:0.47998pt;mso-position-vertical-relative:page;mso-position-horizontal-relative:page;width:67.85pt;height:56.9pt;z-index:-251643904;" o:allowincell="f" filled="false" stroked="false" coordsize="1356,1138" coordorigin="0,0">
            <v:shape id="_x0000_s30" style="position:absolute;left:0;top:0;width:1356;height:1138;" fillcolor="#A61C1F" filled="true" stroked="false" coordsize="1356,1138" coordorigin="0,0" path="m,l1356,0l1356,1137l0,1137l0,0xe"/>
            <v:shape id="_x0000_s32" style="position:absolute;left:237;top:112;width:819;height:913;" fillcolor="#FFFFFF" filled="true" stroked="false" coordsize="819,913" coordorigin="0,0" path="m594,777l223,777l213,771l213,731l223,725l594,725l604,731l604,771l594,777xm582,708l237,708l225,699l225,688l213,635l180,584l136,533l88,480l45,424l12,362l0,298l0,291l5,238l22,188l50,144l84,106l127,73l176,47l230,26l287,11l347,3l409,0l470,3l530,11l587,26l641,47l690,73l733,106l736,109l366,109l358,117l358,125l354,149l353,152l233,152l202,176l190,186l177,195l172,200l172,209l177,215l207,243l210,245l210,249l202,259l196,269l190,280l185,291l185,292l183,292l182,294l170,294l124,298l116,303l116,371l124,375l136,377l182,382l183,382l185,383l185,385l190,395l196,406l202,416l210,426l210,429l200,438l192,445l177,460l172,466l172,474l177,480l225,517l233,522l353,522l356,539l358,549l358,559l366,565l648,565l637,578l604,630l592,688l592,699l582,708xm526,183l523,182l497,172l483,168l469,165l467,165l467,163l466,160l466,149l462,137l462,125l459,117l452,109l736,109l768,144l773,152l587,152l574,154l567,158l530,182l528,182l526,183xm293,183l292,182l290,182l280,176l270,170l262,164l252,158l243,154l233,152l353,152l352,160l352,163l350,165l348,165l334,168l322,172l307,177l294,182l293,183xm686,522l587,522l648,474l646,466l640,460l626,445l617,438l608,429l608,428l610,426l617,416l622,406l627,395l632,385l632,383l634,382l638,382l683,377l693,375l703,371l703,303l693,298l683,297l648,294l638,294l634,292l632,292l632,291l627,280l622,269l617,259l610,249l608,248l608,245l610,243l640,215l646,209l648,200l640,195l628,186l617,176l592,158l587,152l773,152l796,188l813,238l818,291l818,298l806,362l773,422l730,476l686,522xm410,448l354,439l308,415l278,380l267,337l278,295l308,260l354,236l410,228l464,236l509,260l539,295l550,337l539,380l509,415l464,439l410,448xm353,522l243,522l252,515l262,511l270,505l280,500l290,494l292,492l294,492l307,498l322,503l334,506l348,509l352,512l352,515l353,522xm648,565l452,565l459,559l462,549l462,539l466,526l466,514l467,512l467,511l469,509l497,503l510,498l523,492l528,492l530,494l539,500l548,505l557,511l567,515l574,522l686,522l681,527l648,565xm560,912l257,912l247,906l247,865l257,859l560,859l570,865l570,906l560,912xm582,845l235,845l227,839l227,797l235,791l582,791l592,797l592,839l582,845e"/>
          </v:group>
        </w:pict>
      </w:r>
      <w:r>
        <w:rPr>
          <w:rFonts w:ascii="Microsoft YaHei" w:hAnsi="Microsoft YaHei" w:eastAsia="Microsoft YaHei" w:cs="Microsoft YaHei"/>
          <w:sz w:val="43"/>
          <w:szCs w:val="43"/>
          <w:spacing w:val="7"/>
        </w:rPr>
        <w:t>监管动态</w:t>
      </w:r>
    </w:p>
    <w:p>
      <w:pPr>
        <w:ind w:firstLine="1324"/>
        <w:spacing w:before="206" w:line="51" w:lineRule="exact"/>
        <w:rPr/>
      </w:pPr>
      <w:r>
        <w:rPr>
          <w:position w:val="-1"/>
        </w:rPr>
        <w:drawing>
          <wp:inline distT="0" distB="0" distL="0" distR="0">
            <wp:extent cx="6675119" cy="32245"/>
            <wp:effectExtent l="0" t="0" r="0" b="0"/>
            <wp:docPr id="20" name="IM 20"/>
            <wp:cNvGraphicFramePr/>
            <a:graphic>
              <a:graphicData uri="http://schemas.openxmlformats.org/drawingml/2006/picture">
                <pic:pic>
                  <pic:nvPicPr>
                    <pic:cNvPr id="20" name="IM 20"/>
                    <pic:cNvPicPr/>
                  </pic:nvPicPr>
                  <pic:blipFill>
                    <a:blip r:embed="rId15"/>
                    <a:stretch>
                      <a:fillRect/>
                    </a:stretch>
                  </pic:blipFill>
                  <pic:spPr>
                    <a:xfrm rot="0">
                      <a:off x="0" y="0"/>
                      <a:ext cx="6675119" cy="32245"/>
                    </a:xfrm>
                    <a:prstGeom prst="rect">
                      <a:avLst/>
                    </a:prstGeom>
                  </pic:spPr>
                </pic:pic>
              </a:graphicData>
            </a:graphic>
          </wp:inline>
        </w:drawing>
      </w:r>
    </w:p>
    <w:p>
      <w:pPr>
        <w:pStyle w:val="BodyText"/>
        <w:spacing w:line="278" w:lineRule="auto"/>
        <w:rPr/>
      </w:pPr>
      <w:r/>
    </w:p>
    <w:p>
      <w:pPr>
        <w:pStyle w:val="BodyText"/>
        <w:spacing w:line="279" w:lineRule="auto"/>
        <w:rPr/>
      </w:pPr>
      <w:r/>
    </w:p>
    <w:p>
      <w:pPr>
        <w:ind w:left="339"/>
        <w:spacing w:before="120" w:line="183" w:lineRule="auto"/>
        <w:rPr>
          <w:rFonts w:ascii="Microsoft YaHei" w:hAnsi="Microsoft YaHei" w:eastAsia="Microsoft YaHei" w:cs="Microsoft YaHei"/>
          <w:sz w:val="28"/>
          <w:szCs w:val="28"/>
        </w:rPr>
      </w:pPr>
      <w:r>
        <w:drawing>
          <wp:anchor distT="0" distB="0" distL="0" distR="0" simplePos="0" relativeHeight="251673600" behindDoc="1" locked="0" layoutInCell="1" allowOverlap="1">
            <wp:simplePos x="0" y="0"/>
            <wp:positionH relativeFrom="column">
              <wp:posOffset>4572</wp:posOffset>
            </wp:positionH>
            <wp:positionV relativeFrom="paragraph">
              <wp:posOffset>-93906</wp:posOffset>
            </wp:positionV>
            <wp:extent cx="1711451" cy="586740"/>
            <wp:effectExtent l="0" t="0" r="0" b="0"/>
            <wp:wrapNone/>
            <wp:docPr id="22" name="IM 22"/>
            <wp:cNvGraphicFramePr/>
            <a:graphic>
              <a:graphicData uri="http://schemas.openxmlformats.org/drawingml/2006/picture">
                <pic:pic>
                  <pic:nvPicPr>
                    <pic:cNvPr id="22" name="IM 22"/>
                    <pic:cNvPicPr/>
                  </pic:nvPicPr>
                  <pic:blipFill>
                    <a:blip r:embed="rId16"/>
                    <a:stretch>
                      <a:fillRect/>
                    </a:stretch>
                  </pic:blipFill>
                  <pic:spPr>
                    <a:xfrm rot="0">
                      <a:off x="0" y="0"/>
                      <a:ext cx="1711451" cy="586740"/>
                    </a:xfrm>
                    <a:prstGeom prst="rect">
                      <a:avLst/>
                    </a:prstGeom>
                  </pic:spPr>
                </pic:pic>
              </a:graphicData>
            </a:graphic>
          </wp:anchor>
        </w:drawing>
      </w:r>
      <w:r>
        <w:rPr>
          <w:rFonts w:ascii="Microsoft YaHei" w:hAnsi="Microsoft YaHei" w:eastAsia="Microsoft YaHei" w:cs="Microsoft YaHei"/>
          <w:sz w:val="28"/>
          <w:szCs w:val="28"/>
          <w:b/>
          <w:bCs/>
          <w:color w:val="FFFFFF"/>
          <w:spacing w:val="-1"/>
        </w:rPr>
        <w:t>上交所监管动态</w:t>
      </w:r>
    </w:p>
    <w:p>
      <w:pPr>
        <w:pStyle w:val="BodyText"/>
        <w:spacing w:line="252" w:lineRule="auto"/>
        <w:rPr/>
      </w:pPr>
      <w:r/>
    </w:p>
    <w:p>
      <w:pPr>
        <w:pStyle w:val="BodyText"/>
        <w:spacing w:line="252" w:lineRule="auto"/>
        <w:rPr/>
      </w:pPr>
      <w:r/>
    </w:p>
    <w:p>
      <w:pPr>
        <w:ind w:left="886"/>
        <w:spacing w:before="104" w:line="183" w:lineRule="auto"/>
        <w:outlineLvl w:val="0"/>
        <w:rPr>
          <w:rFonts w:ascii="Microsoft YaHei" w:hAnsi="Microsoft YaHei" w:eastAsia="Microsoft YaHei" w:cs="Microsoft YaHei"/>
          <w:sz w:val="24"/>
          <w:szCs w:val="24"/>
        </w:rPr>
      </w:pPr>
      <w:r>
        <w:rPr>
          <w:rFonts w:ascii="Microsoft YaHei" w:hAnsi="Microsoft YaHei" w:eastAsia="Microsoft YaHei" w:cs="Microsoft YaHei"/>
          <w:sz w:val="24"/>
          <w:szCs w:val="24"/>
          <w:b/>
          <w:bCs/>
          <w:spacing w:val="-6"/>
        </w:rPr>
        <w:t>1、上市公司监管动态</w:t>
      </w:r>
    </w:p>
    <w:p>
      <w:pPr>
        <w:ind w:left="426" w:right="580" w:firstLine="491"/>
        <w:spacing w:before="171" w:line="359" w:lineRule="auto"/>
        <w:jc w:val="both"/>
        <w:rPr>
          <w:rFonts w:ascii="Microsoft YaHei" w:hAnsi="Microsoft YaHei" w:eastAsia="Microsoft YaHei" w:cs="Microsoft YaHei"/>
          <w:sz w:val="24"/>
          <w:szCs w:val="24"/>
        </w:rPr>
      </w:pPr>
      <w:r>
        <w:rPr>
          <w:rFonts w:ascii="Microsoft YaHei" w:hAnsi="Microsoft YaHei" w:eastAsia="Microsoft YaHei" w:cs="Microsoft YaHei"/>
          <w:sz w:val="24"/>
          <w:szCs w:val="24"/>
          <w:spacing w:val="-2"/>
        </w:rPr>
        <w:t>2024年8月26日-9月1日， 上交所公司监管部门作出8</w:t>
      </w:r>
      <w:r>
        <w:rPr>
          <w:rFonts w:ascii="Microsoft YaHei" w:hAnsi="Microsoft YaHei" w:eastAsia="Microsoft YaHei" w:cs="Microsoft YaHei"/>
          <w:sz w:val="24"/>
          <w:szCs w:val="24"/>
          <w:spacing w:val="-3"/>
        </w:rPr>
        <w:t>份监管警示函， 对4宗行为予以纪律处分。</w:t>
      </w:r>
      <w:r>
        <w:rPr>
          <w:rFonts w:ascii="Microsoft YaHei" w:hAnsi="Microsoft YaHei" w:eastAsia="Microsoft YaHei" w:cs="Microsoft YaHei"/>
          <w:sz w:val="24"/>
          <w:szCs w:val="24"/>
          <w:spacing w:val="-48"/>
        </w:rPr>
        <w:t xml:space="preserve"> </w:t>
      </w:r>
      <w:r>
        <w:rPr>
          <w:rFonts w:ascii="Microsoft YaHei" w:hAnsi="Microsoft YaHei" w:eastAsia="Microsoft YaHei" w:cs="Microsoft YaHei"/>
          <w:sz w:val="24"/>
          <w:szCs w:val="24"/>
          <w:spacing w:val="-3"/>
        </w:rPr>
        <w:t>同</w:t>
      </w:r>
      <w:r>
        <w:rPr>
          <w:rFonts w:ascii="Microsoft YaHei" w:hAnsi="Microsoft YaHei" w:eastAsia="Microsoft YaHei" w:cs="Microsoft YaHei"/>
          <w:sz w:val="24"/>
          <w:szCs w:val="24"/>
        </w:rPr>
        <w:t xml:space="preserve"> </w:t>
      </w:r>
      <w:r>
        <w:rPr>
          <w:rFonts w:ascii="Microsoft YaHei" w:hAnsi="Microsoft YaHei" w:eastAsia="Microsoft YaHei" w:cs="Microsoft YaHei"/>
          <w:sz w:val="24"/>
          <w:szCs w:val="24"/>
          <w:spacing w:val="-4"/>
        </w:rPr>
        <w:t>时， 加大信息披露和股价异常的联动监管， 针对公司披露敏感信息或股价发生明显异常的， 提请启动内</w:t>
      </w:r>
      <w:r>
        <w:rPr>
          <w:rFonts w:ascii="Microsoft YaHei" w:hAnsi="Microsoft YaHei" w:eastAsia="Microsoft YaHei" w:cs="Microsoft YaHei"/>
          <w:sz w:val="24"/>
          <w:szCs w:val="24"/>
          <w:spacing w:val="4"/>
        </w:rPr>
        <w:t xml:space="preserve"> </w:t>
      </w:r>
      <w:r>
        <w:rPr>
          <w:rFonts w:ascii="Microsoft YaHei" w:hAnsi="Microsoft YaHei" w:eastAsia="Microsoft YaHei" w:cs="Microsoft YaHei"/>
          <w:sz w:val="24"/>
          <w:szCs w:val="24"/>
          <w:spacing w:val="-1"/>
        </w:rPr>
        <w:t>幕交易、异常交易核查10单。</w:t>
      </w:r>
    </w:p>
    <w:p>
      <w:pPr>
        <w:pStyle w:val="BodyText"/>
        <w:spacing w:line="295" w:lineRule="auto"/>
        <w:rPr/>
      </w:pPr>
      <w:r/>
    </w:p>
    <w:p>
      <w:pPr>
        <w:ind w:firstLine="1292"/>
        <w:spacing w:line="5222" w:lineRule="exact"/>
        <w:rPr/>
      </w:pPr>
      <w:r>
        <w:rPr>
          <w:position w:val="-104"/>
        </w:rPr>
        <w:drawing>
          <wp:inline distT="0" distB="0" distL="0" distR="0">
            <wp:extent cx="5814059" cy="3315970"/>
            <wp:effectExtent l="0" t="0" r="0" b="0"/>
            <wp:docPr id="24" name="IM 24"/>
            <wp:cNvGraphicFramePr/>
            <a:graphic>
              <a:graphicData uri="http://schemas.openxmlformats.org/drawingml/2006/picture">
                <pic:pic>
                  <pic:nvPicPr>
                    <pic:cNvPr id="24" name="IM 24"/>
                    <pic:cNvPicPr/>
                  </pic:nvPicPr>
                  <pic:blipFill>
                    <a:blip r:embed="rId17"/>
                    <a:stretch>
                      <a:fillRect/>
                    </a:stretch>
                  </pic:blipFill>
                  <pic:spPr>
                    <a:xfrm rot="0">
                      <a:off x="0" y="0"/>
                      <a:ext cx="5814059" cy="3315970"/>
                    </a:xfrm>
                    <a:prstGeom prst="rect">
                      <a:avLst/>
                    </a:prstGeom>
                  </pic:spPr>
                </pic:pic>
              </a:graphicData>
            </a:graphic>
          </wp:inline>
        </w:drawing>
      </w:r>
    </w:p>
    <w:p>
      <w:pPr>
        <w:pStyle w:val="BodyText"/>
        <w:spacing w:line="311" w:lineRule="auto"/>
        <w:rPr/>
      </w:pPr>
      <w:r/>
    </w:p>
    <w:p>
      <w:pPr>
        <w:pStyle w:val="BodyText"/>
        <w:spacing w:line="312" w:lineRule="auto"/>
        <w:rPr/>
      </w:pPr>
      <w:r/>
    </w:p>
    <w:p>
      <w:pPr>
        <w:ind w:left="742"/>
        <w:spacing w:before="104" w:line="225" w:lineRule="auto"/>
        <w:outlineLvl w:val="1"/>
        <w:rPr>
          <w:rFonts w:ascii="Microsoft YaHei" w:hAnsi="Microsoft YaHei" w:eastAsia="Microsoft YaHei" w:cs="Microsoft YaHei"/>
          <w:sz w:val="24"/>
          <w:szCs w:val="24"/>
        </w:rPr>
      </w:pPr>
      <w:r>
        <w:rPr>
          <w:rFonts w:ascii="Microsoft YaHei" w:hAnsi="Microsoft YaHei" w:eastAsia="Microsoft YaHei" w:cs="Microsoft YaHei"/>
          <w:sz w:val="24"/>
          <w:szCs w:val="24"/>
          <w:b/>
          <w:bCs/>
          <w:spacing w:val="-11"/>
        </w:rPr>
        <w:t>（1） 监管措施统计</w:t>
      </w:r>
    </w:p>
    <w:p>
      <w:pPr>
        <w:spacing w:line="210" w:lineRule="exact"/>
        <w:rPr/>
      </w:pPr>
      <w:r/>
    </w:p>
    <w:tbl>
      <w:tblPr>
        <w:tblStyle w:val="TableNormal"/>
        <w:tblW w:w="9159" w:type="dxa"/>
        <w:tblInd w:w="1256" w:type="dxa"/>
        <w:tblLayout w:type="fixed"/>
        <w:tblBorders>
          <w:top w:val="single" w:color="C0504D" w:sz="6" w:space="0"/>
          <w:left w:val="single" w:color="C0504D" w:sz="6" w:space="0"/>
          <w:bottom w:val="single" w:color="C0504D" w:sz="6" w:space="0"/>
          <w:right w:val="single" w:color="C0504D" w:sz="6" w:space="0"/>
          <w:insideH w:val="single" w:color="C0504D" w:sz="6" w:space="0"/>
          <w:insideV w:val="single" w:color="C0504D" w:sz="6" w:space="0"/>
        </w:tblBorders>
      </w:tblPr>
      <w:tblGrid>
        <w:gridCol w:w="1671"/>
        <w:gridCol w:w="1215"/>
        <w:gridCol w:w="1324"/>
        <w:gridCol w:w="4949"/>
      </w:tblGrid>
      <w:tr>
        <w:trPr>
          <w:trHeight w:val="377" w:hRule="atLeast"/>
        </w:trPr>
        <w:tc>
          <w:tcPr>
            <w:shd w:val="clear" w:fill="C0504D"/>
            <w:tcW w:w="1671" w:type="dxa"/>
            <w:vAlign w:val="top"/>
            <w:tcBorders>
              <w:bottom w:val="single" w:color="FFFFFF" w:sz="10" w:space="0"/>
            </w:tcBorders>
          </w:tcPr>
          <w:p>
            <w:pPr>
              <w:pStyle w:val="TableText"/>
              <w:ind w:left="410"/>
              <w:spacing w:before="90" w:line="189" w:lineRule="auto"/>
              <w:rPr/>
            </w:pPr>
            <w:r>
              <w:rPr>
                <w:b/>
                <w:bCs/>
                <w:color w:val="FFFFFF"/>
                <w:spacing w:val="8"/>
              </w:rPr>
              <w:t>公司代码</w:t>
            </w:r>
          </w:p>
        </w:tc>
        <w:tc>
          <w:tcPr>
            <w:shd w:val="clear" w:fill="C0504D"/>
            <w:tcW w:w="1215" w:type="dxa"/>
            <w:vAlign w:val="top"/>
            <w:tcBorders>
              <w:bottom w:val="single" w:color="FFFFFF" w:sz="10" w:space="0"/>
            </w:tcBorders>
          </w:tcPr>
          <w:p>
            <w:pPr>
              <w:pStyle w:val="TableText"/>
              <w:ind w:left="179"/>
              <w:spacing w:before="92" w:line="188" w:lineRule="auto"/>
              <w:rPr/>
            </w:pPr>
            <w:r>
              <w:rPr>
                <w:b/>
                <w:bCs/>
                <w:color w:val="FFFFFF"/>
                <w:spacing w:val="8"/>
              </w:rPr>
              <w:t>公司简称</w:t>
            </w:r>
          </w:p>
        </w:tc>
        <w:tc>
          <w:tcPr>
            <w:shd w:val="clear" w:fill="C0504D"/>
            <w:tcW w:w="1324" w:type="dxa"/>
            <w:vAlign w:val="top"/>
            <w:tcBorders>
              <w:bottom w:val="single" w:color="FFFFFF" w:sz="10" w:space="0"/>
            </w:tcBorders>
          </w:tcPr>
          <w:p>
            <w:pPr>
              <w:pStyle w:val="TableText"/>
              <w:ind w:left="246"/>
              <w:spacing w:before="92" w:line="188" w:lineRule="auto"/>
              <w:rPr/>
            </w:pPr>
            <w:r>
              <w:rPr>
                <w:b/>
                <w:bCs/>
                <w:color w:val="FFFFFF"/>
                <w:spacing w:val="5"/>
              </w:rPr>
              <w:t>函件类别</w:t>
            </w:r>
          </w:p>
        </w:tc>
        <w:tc>
          <w:tcPr>
            <w:shd w:val="clear" w:fill="C0504D"/>
            <w:tcW w:w="4949" w:type="dxa"/>
            <w:vAlign w:val="top"/>
            <w:tcBorders>
              <w:bottom w:val="single" w:color="FFFFFF" w:sz="10" w:space="0"/>
            </w:tcBorders>
          </w:tcPr>
          <w:p>
            <w:pPr>
              <w:pStyle w:val="TableText"/>
              <w:ind w:left="2048"/>
              <w:spacing w:before="92" w:line="188" w:lineRule="auto"/>
              <w:rPr/>
            </w:pPr>
            <w:r>
              <w:rPr>
                <w:b/>
                <w:bCs/>
                <w:color w:val="FFFFFF"/>
                <w:spacing w:val="8"/>
              </w:rPr>
              <w:t>违规类型</w:t>
            </w:r>
          </w:p>
        </w:tc>
      </w:tr>
      <w:tr>
        <w:trPr>
          <w:trHeight w:val="1074" w:hRule="atLeast"/>
        </w:trPr>
        <w:tc>
          <w:tcPr>
            <w:tcW w:w="1671" w:type="dxa"/>
            <w:vAlign w:val="top"/>
            <w:tcBorders>
              <w:top w:val="single" w:color="FFFFFF" w:sz="10" w:space="0"/>
            </w:tcBorders>
          </w:tcPr>
          <w:p>
            <w:pPr>
              <w:pStyle w:val="TableText"/>
              <w:ind w:left="468"/>
              <w:spacing w:before="91" w:line="178" w:lineRule="auto"/>
              <w:rPr/>
            </w:pPr>
            <w:r>
              <w:rPr>
                <w:spacing w:val="3"/>
              </w:rPr>
              <w:t>688027</w:t>
            </w:r>
          </w:p>
        </w:tc>
        <w:tc>
          <w:tcPr>
            <w:tcW w:w="1215" w:type="dxa"/>
            <w:vAlign w:val="top"/>
            <w:tcBorders>
              <w:top w:val="single" w:color="FFFFFF" w:sz="10" w:space="0"/>
            </w:tcBorders>
          </w:tcPr>
          <w:p>
            <w:pPr>
              <w:pStyle w:val="TableText"/>
              <w:ind w:left="190"/>
              <w:spacing w:before="85" w:line="183" w:lineRule="auto"/>
              <w:rPr/>
            </w:pPr>
            <w:r>
              <w:rPr>
                <w:spacing w:val="5"/>
              </w:rPr>
              <w:t>国盾量子</w:t>
            </w:r>
          </w:p>
        </w:tc>
        <w:tc>
          <w:tcPr>
            <w:tcW w:w="1324" w:type="dxa"/>
            <w:vAlign w:val="top"/>
            <w:tcBorders>
              <w:top w:val="single" w:color="FFFFFF" w:sz="10" w:space="0"/>
            </w:tcBorders>
          </w:tcPr>
          <w:p>
            <w:pPr>
              <w:pStyle w:val="TableText"/>
              <w:ind w:left="234"/>
              <w:spacing w:before="79" w:line="187" w:lineRule="auto"/>
              <w:rPr/>
            </w:pPr>
            <w:r>
              <w:rPr>
                <w:spacing w:val="8"/>
              </w:rPr>
              <w:t>公开谴责</w:t>
            </w:r>
          </w:p>
        </w:tc>
        <w:tc>
          <w:tcPr>
            <w:tcW w:w="4949" w:type="dxa"/>
            <w:vAlign w:val="top"/>
            <w:tcBorders>
              <w:top w:val="single" w:color="FFFFFF" w:sz="10" w:space="0"/>
            </w:tcBorders>
          </w:tcPr>
          <w:p>
            <w:pPr>
              <w:pStyle w:val="TableText"/>
              <w:ind w:left="2"/>
              <w:spacing w:before="76" w:line="189" w:lineRule="auto"/>
              <w:rPr/>
            </w:pPr>
            <w:r>
              <w:rPr>
                <w:spacing w:val="9"/>
              </w:rPr>
              <w:t>股东违反其在公司首次公开发行股票时所做出的</w:t>
            </w:r>
            <w:r>
              <w:rPr>
                <w:b/>
                <w:bCs/>
                <w:spacing w:val="9"/>
              </w:rPr>
              <w:t>承</w:t>
            </w:r>
          </w:p>
          <w:p>
            <w:pPr>
              <w:pStyle w:val="TableText"/>
              <w:ind w:left="11" w:right="104" w:hanging="8"/>
              <w:spacing w:before="87" w:line="220" w:lineRule="auto"/>
              <w:rPr/>
            </w:pPr>
            <w:r>
              <w:rPr>
                <w:b/>
                <w:bCs/>
                <w:spacing w:val="7"/>
              </w:rPr>
              <w:t>诺</w:t>
            </w:r>
            <w:r>
              <w:rPr>
                <w:spacing w:val="7"/>
              </w:rPr>
              <w:t>， 年度减持公司股票总数超过其所持公司股</w:t>
            </w:r>
            <w:r>
              <w:rPr>
                <w:spacing w:val="6"/>
              </w:rPr>
              <w:t>份总数</w:t>
            </w:r>
            <w:r>
              <w:rPr/>
              <w:t xml:space="preserve"> </w:t>
            </w:r>
            <w:r>
              <w:rPr/>
              <w:t>的  25%。</w:t>
            </w:r>
          </w:p>
        </w:tc>
      </w:tr>
      <w:tr>
        <w:trPr>
          <w:trHeight w:val="1079" w:hRule="atLeast"/>
        </w:trPr>
        <w:tc>
          <w:tcPr>
            <w:shd w:val="clear" w:fill="F2DCDC"/>
            <w:tcW w:w="1671" w:type="dxa"/>
            <w:vAlign w:val="top"/>
          </w:tcPr>
          <w:p>
            <w:pPr>
              <w:pStyle w:val="TableText"/>
              <w:ind w:left="468"/>
              <w:spacing w:before="101" w:line="178" w:lineRule="auto"/>
              <w:rPr/>
            </w:pPr>
            <w:r>
              <w:rPr>
                <w:spacing w:val="3"/>
              </w:rPr>
              <w:t>603222</w:t>
            </w:r>
          </w:p>
        </w:tc>
        <w:tc>
          <w:tcPr>
            <w:shd w:val="clear" w:fill="F2DCDC"/>
            <w:tcW w:w="1215" w:type="dxa"/>
            <w:vAlign w:val="top"/>
          </w:tcPr>
          <w:p>
            <w:pPr>
              <w:pStyle w:val="TableText"/>
              <w:ind w:left="178"/>
              <w:spacing w:before="86" w:line="189" w:lineRule="auto"/>
              <w:rPr/>
            </w:pPr>
            <w:r>
              <w:rPr>
                <w:spacing w:val="8"/>
              </w:rPr>
              <w:t>济民健康</w:t>
            </w:r>
          </w:p>
        </w:tc>
        <w:tc>
          <w:tcPr>
            <w:shd w:val="clear" w:fill="F2DCDC"/>
            <w:tcW w:w="1324" w:type="dxa"/>
            <w:vAlign w:val="top"/>
          </w:tcPr>
          <w:p>
            <w:pPr>
              <w:pStyle w:val="TableText"/>
              <w:ind w:left="236"/>
              <w:spacing w:before="86" w:line="189" w:lineRule="auto"/>
              <w:rPr/>
            </w:pPr>
            <w:r>
              <w:rPr>
                <w:spacing w:val="8"/>
              </w:rPr>
              <w:t>监管警示</w:t>
            </w:r>
          </w:p>
        </w:tc>
        <w:tc>
          <w:tcPr>
            <w:shd w:val="clear" w:fill="F2DCDC"/>
            <w:tcW w:w="4949" w:type="dxa"/>
            <w:vAlign w:val="top"/>
          </w:tcPr>
          <w:p>
            <w:pPr>
              <w:pStyle w:val="TableText"/>
              <w:ind w:left="3" w:right="104" w:hanging="1"/>
              <w:spacing w:before="86" w:line="229" w:lineRule="auto"/>
              <w:jc w:val="both"/>
              <w:rPr/>
            </w:pPr>
            <w:r>
              <w:rPr>
                <w:spacing w:val="9"/>
              </w:rPr>
              <w:t>公司未就独立董事是否存在影响其独立性的情形进行</w:t>
            </w:r>
            <w:r>
              <w:rPr>
                <w:spacing w:val="18"/>
              </w:rPr>
              <w:t xml:space="preserve"> </w:t>
            </w:r>
            <w:r>
              <w:rPr>
                <w:spacing w:val="7"/>
              </w:rPr>
              <w:t>审慎核实， 向交易所报送的</w:t>
            </w:r>
            <w:r>
              <w:rPr>
                <w:b/>
                <w:bCs/>
                <w:spacing w:val="7"/>
              </w:rPr>
              <w:t>独立董事候选人材</w:t>
            </w:r>
            <w:r>
              <w:rPr>
                <w:b/>
                <w:bCs/>
                <w:spacing w:val="6"/>
              </w:rPr>
              <w:t>料</w:t>
            </w:r>
            <w:r>
              <w:rPr>
                <w:spacing w:val="6"/>
              </w:rPr>
              <w:t>未真</w:t>
            </w:r>
            <w:r>
              <w:rPr/>
              <w:t xml:space="preserve"> </w:t>
            </w:r>
            <w:r>
              <w:rPr>
                <w:spacing w:val="8"/>
              </w:rPr>
              <w:t>实、准确反映其相关情况。</w:t>
            </w:r>
          </w:p>
        </w:tc>
      </w:tr>
      <w:tr>
        <w:trPr>
          <w:trHeight w:val="363" w:hRule="atLeast"/>
        </w:trPr>
        <w:tc>
          <w:tcPr>
            <w:tcW w:w="1671" w:type="dxa"/>
            <w:vAlign w:val="top"/>
          </w:tcPr>
          <w:p>
            <w:pPr>
              <w:pStyle w:val="TableText"/>
              <w:ind w:left="468"/>
              <w:spacing w:before="105" w:line="173" w:lineRule="auto"/>
              <w:rPr/>
            </w:pPr>
            <w:r>
              <w:rPr>
                <w:spacing w:val="3"/>
              </w:rPr>
              <w:t>600655</w:t>
            </w:r>
          </w:p>
        </w:tc>
        <w:tc>
          <w:tcPr>
            <w:tcW w:w="1215" w:type="dxa"/>
            <w:vAlign w:val="top"/>
          </w:tcPr>
          <w:p>
            <w:pPr>
              <w:pStyle w:val="TableText"/>
              <w:ind w:left="179"/>
              <w:spacing w:before="92" w:line="182" w:lineRule="auto"/>
              <w:rPr/>
            </w:pPr>
            <w:r>
              <w:rPr>
                <w:spacing w:val="8"/>
              </w:rPr>
              <w:t>豫园股份</w:t>
            </w:r>
          </w:p>
        </w:tc>
        <w:tc>
          <w:tcPr>
            <w:tcW w:w="1324" w:type="dxa"/>
            <w:vAlign w:val="top"/>
          </w:tcPr>
          <w:p>
            <w:pPr>
              <w:pStyle w:val="TableText"/>
              <w:ind w:left="236"/>
              <w:spacing w:before="91" w:line="183" w:lineRule="auto"/>
              <w:rPr/>
            </w:pPr>
            <w:r>
              <w:rPr>
                <w:spacing w:val="8"/>
              </w:rPr>
              <w:t>监管警示</w:t>
            </w:r>
          </w:p>
        </w:tc>
        <w:tc>
          <w:tcPr>
            <w:tcW w:w="4949" w:type="dxa"/>
            <w:vAlign w:val="top"/>
          </w:tcPr>
          <w:p>
            <w:pPr>
              <w:pStyle w:val="TableText"/>
              <w:ind w:left="4"/>
              <w:spacing w:before="91" w:line="183" w:lineRule="auto"/>
              <w:rPr/>
            </w:pPr>
            <w:r>
              <w:rPr>
                <w:spacing w:val="8"/>
              </w:rPr>
              <w:t>职工代表监事配偶</w:t>
            </w:r>
            <w:r>
              <w:rPr>
                <w:b/>
                <w:bCs/>
                <w:spacing w:val="8"/>
              </w:rPr>
              <w:t>短线交易</w:t>
            </w:r>
            <w:r>
              <w:rPr>
                <w:spacing w:val="8"/>
              </w:rPr>
              <w:t>。</w:t>
            </w:r>
          </w:p>
        </w:tc>
      </w:tr>
      <w:tr>
        <w:trPr>
          <w:trHeight w:val="363" w:hRule="atLeast"/>
        </w:trPr>
        <w:tc>
          <w:tcPr>
            <w:shd w:val="clear" w:fill="F2DCDC"/>
            <w:tcW w:w="1671" w:type="dxa"/>
            <w:vAlign w:val="top"/>
          </w:tcPr>
          <w:p>
            <w:pPr>
              <w:pStyle w:val="TableText"/>
              <w:ind w:left="468"/>
              <w:spacing w:before="105" w:line="173" w:lineRule="auto"/>
              <w:rPr/>
            </w:pPr>
            <w:r>
              <w:rPr>
                <w:spacing w:val="3"/>
              </w:rPr>
              <w:t>600655</w:t>
            </w:r>
          </w:p>
        </w:tc>
        <w:tc>
          <w:tcPr>
            <w:shd w:val="clear" w:fill="F2DCDC"/>
            <w:tcW w:w="1215" w:type="dxa"/>
            <w:vAlign w:val="top"/>
          </w:tcPr>
          <w:p>
            <w:pPr>
              <w:pStyle w:val="TableText"/>
              <w:ind w:left="179"/>
              <w:spacing w:before="94" w:line="181" w:lineRule="auto"/>
              <w:rPr/>
            </w:pPr>
            <w:r>
              <w:rPr>
                <w:spacing w:val="8"/>
              </w:rPr>
              <w:t>豫园股份</w:t>
            </w:r>
          </w:p>
        </w:tc>
        <w:tc>
          <w:tcPr>
            <w:shd w:val="clear" w:fill="F2DCDC"/>
            <w:tcW w:w="1324" w:type="dxa"/>
            <w:vAlign w:val="top"/>
          </w:tcPr>
          <w:p>
            <w:pPr>
              <w:pStyle w:val="TableText"/>
              <w:ind w:left="236"/>
              <w:spacing w:before="91" w:line="183" w:lineRule="auto"/>
              <w:rPr/>
            </w:pPr>
            <w:r>
              <w:rPr>
                <w:spacing w:val="8"/>
              </w:rPr>
              <w:t>监管警示</w:t>
            </w:r>
          </w:p>
        </w:tc>
        <w:tc>
          <w:tcPr>
            <w:shd w:val="clear" w:fill="F2DCDC"/>
            <w:tcW w:w="4949" w:type="dxa"/>
            <w:vAlign w:val="top"/>
          </w:tcPr>
          <w:p>
            <w:pPr>
              <w:pStyle w:val="TableText"/>
              <w:ind w:left="11"/>
              <w:spacing w:before="91" w:line="183" w:lineRule="auto"/>
              <w:rPr/>
            </w:pPr>
            <w:r>
              <w:rPr>
                <w:spacing w:val="8"/>
              </w:rPr>
              <w:t>时任执行总裁配偶</w:t>
            </w:r>
            <w:r>
              <w:rPr>
                <w:b/>
                <w:bCs/>
                <w:spacing w:val="8"/>
              </w:rPr>
              <w:t>短线交易。</w:t>
            </w:r>
          </w:p>
        </w:tc>
      </w:tr>
      <w:tr>
        <w:trPr>
          <w:trHeight w:val="1087" w:hRule="atLeast"/>
        </w:trPr>
        <w:tc>
          <w:tcPr>
            <w:tcW w:w="1671" w:type="dxa"/>
            <w:vAlign w:val="top"/>
          </w:tcPr>
          <w:p>
            <w:pPr>
              <w:pStyle w:val="TableText"/>
              <w:ind w:left="468"/>
              <w:spacing w:before="106" w:line="178" w:lineRule="auto"/>
              <w:rPr/>
            </w:pPr>
            <w:r>
              <w:rPr>
                <w:spacing w:val="3"/>
              </w:rPr>
              <w:t>603879</w:t>
            </w:r>
          </w:p>
        </w:tc>
        <w:tc>
          <w:tcPr>
            <w:tcW w:w="1215" w:type="dxa"/>
            <w:vAlign w:val="top"/>
          </w:tcPr>
          <w:p>
            <w:pPr>
              <w:pStyle w:val="TableText"/>
              <w:ind w:left="250"/>
              <w:spacing w:before="91" w:line="189" w:lineRule="auto"/>
              <w:rPr/>
            </w:pPr>
            <w:r>
              <w:rPr/>
              <w:t>ST</w:t>
            </w:r>
            <w:r>
              <w:rPr>
                <w:spacing w:val="3"/>
              </w:rPr>
              <w:t xml:space="preserve"> 永悦</w:t>
            </w:r>
          </w:p>
        </w:tc>
        <w:tc>
          <w:tcPr>
            <w:tcW w:w="1324" w:type="dxa"/>
            <w:vAlign w:val="top"/>
          </w:tcPr>
          <w:p>
            <w:pPr>
              <w:pStyle w:val="TableText"/>
              <w:ind w:left="234"/>
              <w:spacing w:before="94" w:line="187" w:lineRule="auto"/>
              <w:rPr/>
            </w:pPr>
            <w:r>
              <w:rPr>
                <w:spacing w:val="8"/>
              </w:rPr>
              <w:t>公开谴责</w:t>
            </w:r>
          </w:p>
        </w:tc>
        <w:tc>
          <w:tcPr>
            <w:tcW w:w="4949" w:type="dxa"/>
            <w:vAlign w:val="top"/>
          </w:tcPr>
          <w:p>
            <w:pPr>
              <w:pStyle w:val="TableText"/>
              <w:ind w:left="3" w:right="104"/>
              <w:spacing w:before="90" w:line="230" w:lineRule="auto"/>
              <w:jc w:val="both"/>
              <w:rPr/>
            </w:pPr>
            <w:r>
              <w:rPr>
                <w:b/>
                <w:bCs/>
                <w:spacing w:val="4"/>
              </w:rPr>
              <w:t>重大合同临时公告</w:t>
            </w:r>
            <w:r>
              <w:rPr>
                <w:spacing w:val="4"/>
              </w:rPr>
              <w:t>披露不完整， 存在误导性陈述； 未</w:t>
            </w:r>
            <w:r>
              <w:rPr>
                <w:spacing w:val="6"/>
              </w:rPr>
              <w:t xml:space="preserve"> </w:t>
            </w:r>
            <w:r>
              <w:rPr>
                <w:spacing w:val="9"/>
              </w:rPr>
              <w:t>及时披露关联方</w:t>
            </w:r>
            <w:r>
              <w:rPr>
                <w:b/>
                <w:bCs/>
                <w:spacing w:val="9"/>
              </w:rPr>
              <w:t>非经营性资金占用</w:t>
            </w:r>
            <w:r>
              <w:rPr>
                <w:spacing w:val="9"/>
              </w:rPr>
              <w:t>和</w:t>
            </w:r>
            <w:r>
              <w:rPr>
                <w:b/>
                <w:bCs/>
                <w:spacing w:val="9"/>
              </w:rPr>
              <w:t>定期报告</w:t>
            </w:r>
            <w:r>
              <w:rPr>
                <w:spacing w:val="9"/>
              </w:rPr>
              <w:t>存在重</w:t>
            </w:r>
            <w:r>
              <w:rPr>
                <w:spacing w:val="18"/>
              </w:rPr>
              <w:t xml:space="preserve"> </w:t>
            </w:r>
            <w:r>
              <w:rPr>
                <w:spacing w:val="6"/>
              </w:rPr>
              <w:t>大遗漏。</w:t>
            </w:r>
          </w:p>
        </w:tc>
      </w:tr>
    </w:tbl>
    <w:p>
      <w:pPr>
        <w:pStyle w:val="BodyText"/>
        <w:spacing w:line="14" w:lineRule="auto"/>
        <w:rPr>
          <w:sz w:val="2"/>
        </w:rPr>
      </w:pPr>
      <w:r/>
    </w:p>
    <w:p>
      <w:pPr>
        <w:spacing w:line="14" w:lineRule="auto"/>
        <w:sectPr>
          <w:headerReference w:type="default" r:id="rId14"/>
          <w:pgSz w:w="11910" w:h="16840"/>
          <w:pgMar w:top="314" w:right="59" w:bottom="388" w:left="14" w:header="0" w:footer="0" w:gutter="0"/>
        </w:sectPr>
        <w:rPr>
          <w:sz w:val="2"/>
          <w:szCs w:val="2"/>
        </w:rPr>
      </w:pPr>
    </w:p>
    <w:tbl>
      <w:tblPr>
        <w:tblStyle w:val="TableNormal"/>
        <w:tblW w:w="9159" w:type="dxa"/>
        <w:tblInd w:w="826" w:type="dxa"/>
        <w:tblLayout w:type="fixed"/>
        <w:tblBorders>
          <w:top w:val="single" w:color="C0504D" w:sz="6" w:space="0"/>
          <w:left w:val="single" w:color="C0504D" w:sz="6" w:space="0"/>
          <w:bottom w:val="single" w:color="C0504D" w:sz="6" w:space="0"/>
          <w:right w:val="single" w:color="C0504D" w:sz="6" w:space="0"/>
          <w:insideH w:val="single" w:color="C0504D" w:sz="6" w:space="0"/>
          <w:insideV w:val="single" w:color="C0504D" w:sz="6" w:space="0"/>
        </w:tblBorders>
      </w:tblPr>
      <w:tblGrid>
        <w:gridCol w:w="1671"/>
        <w:gridCol w:w="1215"/>
        <w:gridCol w:w="1324"/>
        <w:gridCol w:w="4949"/>
      </w:tblGrid>
      <w:tr>
        <w:trPr>
          <w:trHeight w:val="1821" w:hRule="atLeast"/>
        </w:trPr>
        <w:tc>
          <w:tcPr>
            <w:shd w:val="clear" w:fill="F2DCDC"/>
            <w:tcW w:w="1671" w:type="dxa"/>
            <w:vAlign w:val="top"/>
            <w:tcBorders>
              <w:top w:val="single" w:color="FFFFFF" w:sz="2" w:space="0"/>
            </w:tcBorders>
          </w:tcPr>
          <w:p>
            <w:pPr>
              <w:pStyle w:val="TableText"/>
              <w:ind w:left="468"/>
              <w:spacing w:before="117" w:line="178" w:lineRule="auto"/>
              <w:rPr/>
            </w:pPr>
            <w:r>
              <w:rPr>
                <w:spacing w:val="3"/>
              </w:rPr>
              <w:t>603879</w:t>
            </w:r>
          </w:p>
        </w:tc>
        <w:tc>
          <w:tcPr>
            <w:shd w:val="clear" w:fill="F2DCDC"/>
            <w:tcW w:w="1215" w:type="dxa"/>
            <w:vAlign w:val="top"/>
            <w:tcBorders>
              <w:top w:val="single" w:color="FFFFFF" w:sz="2" w:space="0"/>
            </w:tcBorders>
          </w:tcPr>
          <w:p>
            <w:pPr>
              <w:pStyle w:val="TableText"/>
              <w:ind w:left="250"/>
              <w:spacing w:before="102" w:line="189" w:lineRule="auto"/>
              <w:rPr/>
            </w:pPr>
            <w:r>
              <w:rPr/>
              <w:t>ST</w:t>
            </w:r>
            <w:r>
              <w:rPr>
                <w:spacing w:val="3"/>
              </w:rPr>
              <w:t xml:space="preserve"> 永悦</w:t>
            </w:r>
          </w:p>
        </w:tc>
        <w:tc>
          <w:tcPr>
            <w:shd w:val="clear" w:fill="F2DCDC"/>
            <w:tcW w:w="1324" w:type="dxa"/>
            <w:vAlign w:val="top"/>
            <w:tcBorders>
              <w:top w:val="single" w:color="FFFFFF" w:sz="2" w:space="0"/>
            </w:tcBorders>
          </w:tcPr>
          <w:p>
            <w:pPr>
              <w:pStyle w:val="TableText"/>
              <w:ind w:left="26" w:right="27"/>
              <w:spacing w:before="102" w:line="239" w:lineRule="auto"/>
              <w:rPr/>
            </w:pPr>
            <w:r>
              <w:rPr>
                <w:spacing w:val="9"/>
              </w:rPr>
              <w:t>公开认定一定</w:t>
            </w:r>
            <w:r>
              <w:rPr/>
              <w:t xml:space="preserve"> </w:t>
            </w:r>
            <w:r>
              <w:rPr>
                <w:spacing w:val="9"/>
              </w:rPr>
              <w:t>期限内不适合</w:t>
            </w:r>
            <w:r>
              <w:rPr/>
              <w:t xml:space="preserve"> </w:t>
            </w:r>
            <w:r>
              <w:rPr>
                <w:spacing w:val="9"/>
              </w:rPr>
              <w:t>担任上市公司</w:t>
            </w:r>
            <w:r>
              <w:rPr/>
              <w:t xml:space="preserve"> </w:t>
            </w:r>
            <w:r>
              <w:rPr>
                <w:spacing w:val="7"/>
              </w:rPr>
              <w:t>董事、监事、</w:t>
            </w:r>
            <w:r>
              <w:rPr>
                <w:spacing w:val="3"/>
              </w:rPr>
              <w:t xml:space="preserve"> </w:t>
            </w:r>
            <w:r>
              <w:rPr>
                <w:spacing w:val="9"/>
              </w:rPr>
              <w:t>高级管理人员</w:t>
            </w:r>
          </w:p>
        </w:tc>
        <w:tc>
          <w:tcPr>
            <w:shd w:val="clear" w:fill="F2DCDC"/>
            <w:tcW w:w="4949" w:type="dxa"/>
            <w:vAlign w:val="top"/>
            <w:tcBorders>
              <w:top w:val="single" w:color="FFFFFF" w:sz="2" w:space="0"/>
            </w:tcBorders>
          </w:tcPr>
          <w:p>
            <w:pPr>
              <w:pStyle w:val="TableText"/>
              <w:ind w:left="3" w:right="104"/>
              <w:spacing w:before="100" w:line="251" w:lineRule="auto"/>
              <w:jc w:val="both"/>
              <w:rPr/>
            </w:pPr>
            <w:r>
              <w:rPr>
                <w:b/>
                <w:bCs/>
                <w:spacing w:val="4"/>
              </w:rPr>
              <w:t>重大合同临时公告</w:t>
            </w:r>
            <w:r>
              <w:rPr>
                <w:spacing w:val="4"/>
              </w:rPr>
              <w:t>披露不完整， 存在误导性陈述； 未</w:t>
            </w:r>
            <w:r>
              <w:rPr>
                <w:spacing w:val="6"/>
              </w:rPr>
              <w:t xml:space="preserve"> </w:t>
            </w:r>
            <w:r>
              <w:rPr>
                <w:spacing w:val="9"/>
              </w:rPr>
              <w:t>及时披露关联方</w:t>
            </w:r>
            <w:r>
              <w:rPr>
                <w:b/>
                <w:bCs/>
                <w:spacing w:val="9"/>
              </w:rPr>
              <w:t>非经营性资金占用</w:t>
            </w:r>
            <w:r>
              <w:rPr>
                <w:spacing w:val="9"/>
              </w:rPr>
              <w:t>和</w:t>
            </w:r>
            <w:r>
              <w:rPr>
                <w:b/>
                <w:bCs/>
                <w:spacing w:val="9"/>
              </w:rPr>
              <w:t>定期报告</w:t>
            </w:r>
            <w:r>
              <w:rPr>
                <w:spacing w:val="9"/>
              </w:rPr>
              <w:t>存在重</w:t>
            </w:r>
            <w:r>
              <w:rPr>
                <w:spacing w:val="18"/>
              </w:rPr>
              <w:t xml:space="preserve"> </w:t>
            </w:r>
            <w:r>
              <w:rPr>
                <w:spacing w:val="6"/>
              </w:rPr>
              <w:t>大遗漏。</w:t>
            </w:r>
          </w:p>
        </w:tc>
      </w:tr>
      <w:tr>
        <w:trPr>
          <w:trHeight w:val="1084" w:hRule="atLeast"/>
        </w:trPr>
        <w:tc>
          <w:tcPr>
            <w:tcW w:w="1671" w:type="dxa"/>
            <w:vAlign w:val="top"/>
          </w:tcPr>
          <w:p>
            <w:pPr>
              <w:pStyle w:val="TableText"/>
              <w:ind w:left="468"/>
              <w:spacing w:before="100" w:line="178" w:lineRule="auto"/>
              <w:rPr/>
            </w:pPr>
            <w:r>
              <w:rPr>
                <w:spacing w:val="3"/>
              </w:rPr>
              <w:t>603003</w:t>
            </w:r>
          </w:p>
        </w:tc>
        <w:tc>
          <w:tcPr>
            <w:tcW w:w="1215" w:type="dxa"/>
            <w:vAlign w:val="top"/>
          </w:tcPr>
          <w:p>
            <w:pPr>
              <w:pStyle w:val="TableText"/>
              <w:ind w:left="198"/>
              <w:spacing w:before="85" w:line="189" w:lineRule="auto"/>
              <w:rPr/>
            </w:pPr>
            <w:r>
              <w:rPr>
                <w:spacing w:val="4"/>
              </w:rPr>
              <w:t>*</w:t>
            </w:r>
            <w:r>
              <w:rPr/>
              <w:t>ST</w:t>
            </w:r>
            <w:r>
              <w:rPr>
                <w:spacing w:val="4"/>
              </w:rPr>
              <w:t xml:space="preserve"> 龙宇</w:t>
            </w:r>
          </w:p>
        </w:tc>
        <w:tc>
          <w:tcPr>
            <w:tcW w:w="1324" w:type="dxa"/>
            <w:vAlign w:val="top"/>
          </w:tcPr>
          <w:p>
            <w:pPr>
              <w:pStyle w:val="TableText"/>
              <w:ind w:left="236"/>
              <w:spacing w:before="85" w:line="189" w:lineRule="auto"/>
              <w:rPr/>
            </w:pPr>
            <w:r>
              <w:rPr>
                <w:spacing w:val="8"/>
              </w:rPr>
              <w:t>监管警示</w:t>
            </w:r>
          </w:p>
        </w:tc>
        <w:tc>
          <w:tcPr>
            <w:tcW w:w="4949" w:type="dxa"/>
            <w:vAlign w:val="top"/>
          </w:tcPr>
          <w:p>
            <w:pPr>
              <w:pStyle w:val="TableText"/>
              <w:ind w:left="3" w:right="104"/>
              <w:spacing w:before="83" w:line="231" w:lineRule="auto"/>
              <w:jc w:val="both"/>
              <w:rPr/>
            </w:pPr>
            <w:r>
              <w:rPr>
                <w:spacing w:val="4"/>
              </w:rPr>
              <w:t>独立董事及审计委员会主任委员， </w:t>
            </w:r>
            <w:r>
              <w:rPr>
                <w:b/>
                <w:bCs/>
                <w:spacing w:val="4"/>
              </w:rPr>
              <w:t>未勤勉尽责</w:t>
            </w:r>
            <w:r>
              <w:rPr>
                <w:spacing w:val="4"/>
              </w:rPr>
              <w:t>， 未在</w:t>
            </w:r>
            <w:r>
              <w:rPr>
                <w:spacing w:val="6"/>
              </w:rPr>
              <w:t xml:space="preserve"> </w:t>
            </w:r>
            <w:r>
              <w:rPr>
                <w:spacing w:val="8"/>
              </w:rPr>
              <w:t>2023 年度独立董事述职报告及审计委员会履职情况</w:t>
            </w:r>
            <w:r>
              <w:rPr>
                <w:spacing w:val="6"/>
              </w:rPr>
              <w:t xml:space="preserve">  </w:t>
            </w:r>
            <w:r>
              <w:rPr>
                <w:spacing w:val="8"/>
              </w:rPr>
              <w:t>报告中真实反映情况。</w:t>
            </w:r>
          </w:p>
        </w:tc>
      </w:tr>
      <w:tr>
        <w:trPr>
          <w:trHeight w:val="364" w:hRule="atLeast"/>
        </w:trPr>
        <w:tc>
          <w:tcPr>
            <w:shd w:val="clear" w:fill="F2DCDC"/>
            <w:tcW w:w="1671" w:type="dxa"/>
            <w:vAlign w:val="top"/>
          </w:tcPr>
          <w:p>
            <w:pPr>
              <w:pStyle w:val="TableText"/>
              <w:ind w:left="468"/>
              <w:spacing w:before="102" w:line="176" w:lineRule="auto"/>
              <w:rPr/>
            </w:pPr>
            <w:r>
              <w:rPr>
                <w:spacing w:val="3"/>
              </w:rPr>
              <w:t>688173</w:t>
            </w:r>
          </w:p>
        </w:tc>
        <w:tc>
          <w:tcPr>
            <w:shd w:val="clear" w:fill="F2DCDC"/>
            <w:tcW w:w="1215" w:type="dxa"/>
            <w:vAlign w:val="top"/>
          </w:tcPr>
          <w:p>
            <w:pPr>
              <w:pStyle w:val="TableText"/>
              <w:ind w:left="283"/>
              <w:spacing w:before="88" w:line="186" w:lineRule="auto"/>
              <w:rPr/>
            </w:pPr>
            <w:r>
              <w:rPr>
                <w:spacing w:val="8"/>
              </w:rPr>
              <w:t>希荻微</w:t>
            </w:r>
          </w:p>
        </w:tc>
        <w:tc>
          <w:tcPr>
            <w:shd w:val="clear" w:fill="F2DCDC"/>
            <w:tcW w:w="1324" w:type="dxa"/>
            <w:vAlign w:val="top"/>
          </w:tcPr>
          <w:p>
            <w:pPr>
              <w:pStyle w:val="TableText"/>
              <w:ind w:left="236"/>
              <w:spacing w:before="88" w:line="186" w:lineRule="auto"/>
              <w:rPr/>
            </w:pPr>
            <w:r>
              <w:rPr>
                <w:spacing w:val="8"/>
              </w:rPr>
              <w:t>监管警示</w:t>
            </w:r>
          </w:p>
        </w:tc>
        <w:tc>
          <w:tcPr>
            <w:shd w:val="clear" w:fill="F2DCDC"/>
            <w:tcW w:w="4949" w:type="dxa"/>
            <w:vAlign w:val="top"/>
          </w:tcPr>
          <w:p>
            <w:pPr>
              <w:pStyle w:val="TableText"/>
              <w:ind w:left="2"/>
              <w:spacing w:before="88" w:line="186" w:lineRule="auto"/>
              <w:rPr/>
            </w:pPr>
            <w:r>
              <w:rPr>
                <w:spacing w:val="9"/>
              </w:rPr>
              <w:t>公司与关联方</w:t>
            </w:r>
            <w:r>
              <w:rPr>
                <w:b/>
                <w:bCs/>
                <w:spacing w:val="9"/>
              </w:rPr>
              <w:t>非经营性资金往来</w:t>
            </w:r>
            <w:r>
              <w:rPr>
                <w:spacing w:val="9"/>
              </w:rPr>
              <w:t>。</w:t>
            </w:r>
          </w:p>
        </w:tc>
      </w:tr>
      <w:tr>
        <w:trPr>
          <w:trHeight w:val="1443" w:hRule="atLeast"/>
        </w:trPr>
        <w:tc>
          <w:tcPr>
            <w:tcW w:w="1671" w:type="dxa"/>
            <w:vAlign w:val="top"/>
          </w:tcPr>
          <w:p>
            <w:pPr>
              <w:pStyle w:val="TableText"/>
              <w:ind w:left="468"/>
              <w:spacing w:before="103" w:line="178" w:lineRule="auto"/>
              <w:rPr/>
            </w:pPr>
            <w:r>
              <w:rPr>
                <w:spacing w:val="3"/>
              </w:rPr>
              <w:t>688388</w:t>
            </w:r>
          </w:p>
        </w:tc>
        <w:tc>
          <w:tcPr>
            <w:tcW w:w="1215" w:type="dxa"/>
            <w:vAlign w:val="top"/>
          </w:tcPr>
          <w:p>
            <w:pPr>
              <w:pStyle w:val="TableText"/>
              <w:ind w:left="179"/>
              <w:spacing w:before="90" w:line="188" w:lineRule="auto"/>
              <w:rPr/>
            </w:pPr>
            <w:r>
              <w:rPr>
                <w:spacing w:val="8"/>
              </w:rPr>
              <w:t>嘉元科技</w:t>
            </w:r>
          </w:p>
        </w:tc>
        <w:tc>
          <w:tcPr>
            <w:tcW w:w="1324" w:type="dxa"/>
            <w:vAlign w:val="top"/>
          </w:tcPr>
          <w:p>
            <w:pPr>
              <w:pStyle w:val="TableText"/>
              <w:ind w:left="236"/>
              <w:spacing w:before="88" w:line="189" w:lineRule="auto"/>
              <w:rPr/>
            </w:pPr>
            <w:r>
              <w:rPr>
                <w:spacing w:val="8"/>
              </w:rPr>
              <w:t>监管警示</w:t>
            </w:r>
          </w:p>
        </w:tc>
        <w:tc>
          <w:tcPr>
            <w:tcW w:w="4949" w:type="dxa"/>
            <w:vAlign w:val="top"/>
          </w:tcPr>
          <w:p>
            <w:pPr>
              <w:pStyle w:val="TableText"/>
              <w:ind w:left="2" w:right="104" w:firstLine="22"/>
              <w:spacing w:before="88" w:line="250" w:lineRule="auto"/>
              <w:rPr/>
            </w:pPr>
            <w:r>
              <w:rPr>
                <w:b/>
                <w:bCs/>
                <w:spacing w:val="9"/>
              </w:rPr>
              <w:t>日常关联交易</w:t>
            </w:r>
            <w:r>
              <w:rPr>
                <w:spacing w:val="9"/>
              </w:rPr>
              <w:t>未及时履行董事会、股东大会</w:t>
            </w:r>
            <w:r>
              <w:rPr>
                <w:spacing w:val="8"/>
              </w:rPr>
              <w:t>审议程序</w:t>
            </w:r>
            <w:r>
              <w:rPr/>
              <w:t xml:space="preserve"> </w:t>
            </w:r>
            <w:r>
              <w:rPr>
                <w:spacing w:val="4"/>
              </w:rPr>
              <w:t>及相关信息披露义务； </w:t>
            </w:r>
            <w:r>
              <w:rPr>
                <w:b/>
                <w:bCs/>
                <w:spacing w:val="4"/>
              </w:rPr>
              <w:t>募集资金专户</w:t>
            </w:r>
            <w:r>
              <w:rPr>
                <w:spacing w:val="4"/>
              </w:rPr>
              <w:t>管理不规范， 募</w:t>
            </w:r>
            <w:r>
              <w:rPr>
                <w:spacing w:val="7"/>
              </w:rPr>
              <w:t xml:space="preserve"> </w:t>
            </w:r>
            <w:r>
              <w:rPr>
                <w:spacing w:val="6"/>
              </w:rPr>
              <w:t>集资金相关信息披露不准确， </w:t>
            </w:r>
            <w:r>
              <w:rPr>
                <w:b/>
                <w:bCs/>
                <w:spacing w:val="6"/>
              </w:rPr>
              <w:t>新业务进展</w:t>
            </w:r>
            <w:r>
              <w:rPr>
                <w:spacing w:val="6"/>
              </w:rPr>
              <w:t>披露不及</w:t>
            </w:r>
          </w:p>
          <w:p>
            <w:pPr>
              <w:pStyle w:val="TableText"/>
              <w:ind w:left="11"/>
              <w:spacing w:before="9" w:line="184" w:lineRule="auto"/>
              <w:rPr/>
            </w:pPr>
            <w:r>
              <w:rPr>
                <w:spacing w:val="-2"/>
              </w:rPr>
              <w:t>时。</w:t>
            </w:r>
          </w:p>
        </w:tc>
      </w:tr>
      <w:tr>
        <w:trPr>
          <w:trHeight w:val="723" w:hRule="atLeast"/>
        </w:trPr>
        <w:tc>
          <w:tcPr>
            <w:shd w:val="clear" w:fill="F2DCDC"/>
            <w:tcW w:w="1671" w:type="dxa"/>
            <w:vAlign w:val="top"/>
          </w:tcPr>
          <w:p>
            <w:pPr>
              <w:pStyle w:val="TableText"/>
              <w:ind w:left="468"/>
              <w:spacing w:before="105" w:line="179" w:lineRule="auto"/>
              <w:rPr/>
            </w:pPr>
            <w:r>
              <w:rPr>
                <w:spacing w:val="3"/>
              </w:rPr>
              <w:t>688173</w:t>
            </w:r>
          </w:p>
        </w:tc>
        <w:tc>
          <w:tcPr>
            <w:shd w:val="clear" w:fill="F2DCDC"/>
            <w:tcW w:w="1215" w:type="dxa"/>
            <w:vAlign w:val="top"/>
          </w:tcPr>
          <w:p>
            <w:pPr>
              <w:pStyle w:val="TableText"/>
              <w:ind w:left="283"/>
              <w:spacing w:before="92" w:line="189" w:lineRule="auto"/>
              <w:rPr/>
            </w:pPr>
            <w:r>
              <w:rPr>
                <w:spacing w:val="8"/>
              </w:rPr>
              <w:t>希荻微</w:t>
            </w:r>
          </w:p>
        </w:tc>
        <w:tc>
          <w:tcPr>
            <w:shd w:val="clear" w:fill="F2DCDC"/>
            <w:tcW w:w="1324" w:type="dxa"/>
            <w:vAlign w:val="top"/>
          </w:tcPr>
          <w:p>
            <w:pPr>
              <w:pStyle w:val="TableText"/>
              <w:ind w:left="234"/>
              <w:spacing w:before="93" w:line="188" w:lineRule="auto"/>
              <w:rPr/>
            </w:pPr>
            <w:r>
              <w:rPr>
                <w:spacing w:val="8"/>
              </w:rPr>
              <w:t>通报批评</w:t>
            </w:r>
          </w:p>
        </w:tc>
        <w:tc>
          <w:tcPr>
            <w:shd w:val="clear" w:fill="F2DCDC"/>
            <w:tcW w:w="4949" w:type="dxa"/>
            <w:vAlign w:val="top"/>
          </w:tcPr>
          <w:p>
            <w:pPr>
              <w:pStyle w:val="TableText"/>
              <w:ind w:left="1" w:right="104" w:firstLine="2"/>
              <w:spacing w:before="89" w:line="218" w:lineRule="auto"/>
              <w:rPr/>
            </w:pPr>
            <w:r>
              <w:rPr>
                <w:b/>
                <w:bCs/>
                <w:spacing w:val="7"/>
              </w:rPr>
              <w:t>定期报告</w:t>
            </w:r>
            <w:r>
              <w:rPr>
                <w:spacing w:val="7"/>
              </w:rPr>
              <w:t>财务信息披露不准确； 公司与关联方</w:t>
            </w:r>
            <w:r>
              <w:rPr>
                <w:spacing w:val="6"/>
              </w:rPr>
              <w:t>存在</w:t>
            </w:r>
            <w:r>
              <w:rPr>
                <w:b/>
                <w:bCs/>
                <w:spacing w:val="6"/>
              </w:rPr>
              <w:t>非</w:t>
            </w:r>
            <w:r>
              <w:rPr>
                <w:b/>
                <w:bCs/>
              </w:rPr>
              <w:t xml:space="preserve"> </w:t>
            </w:r>
            <w:r>
              <w:rPr>
                <w:b/>
                <w:bCs/>
                <w:spacing w:val="5"/>
              </w:rPr>
              <w:t>经营性资金往来</w:t>
            </w:r>
            <w:r>
              <w:rPr>
                <w:spacing w:val="5"/>
              </w:rPr>
              <w:t>； </w:t>
            </w:r>
            <w:r>
              <w:rPr>
                <w:b/>
                <w:bCs/>
                <w:spacing w:val="5"/>
              </w:rPr>
              <w:t>募集资金</w:t>
            </w:r>
            <w:r>
              <w:rPr>
                <w:spacing w:val="5"/>
              </w:rPr>
              <w:t>使用不规范。</w:t>
            </w:r>
          </w:p>
        </w:tc>
      </w:tr>
      <w:tr>
        <w:trPr>
          <w:trHeight w:val="365" w:hRule="atLeast"/>
        </w:trPr>
        <w:tc>
          <w:tcPr>
            <w:tcW w:w="1671" w:type="dxa"/>
            <w:vAlign w:val="top"/>
          </w:tcPr>
          <w:p>
            <w:pPr>
              <w:pStyle w:val="TableText"/>
              <w:ind w:left="468"/>
              <w:spacing w:before="106" w:line="174" w:lineRule="auto"/>
              <w:rPr/>
            </w:pPr>
            <w:r>
              <w:rPr>
                <w:spacing w:val="3"/>
              </w:rPr>
              <w:t>688017</w:t>
            </w:r>
          </w:p>
        </w:tc>
        <w:tc>
          <w:tcPr>
            <w:tcW w:w="1215" w:type="dxa"/>
            <w:vAlign w:val="top"/>
          </w:tcPr>
          <w:p>
            <w:pPr>
              <w:pStyle w:val="TableText"/>
              <w:ind w:left="178"/>
              <w:spacing w:before="93" w:line="183" w:lineRule="auto"/>
              <w:rPr/>
            </w:pPr>
            <w:r>
              <w:rPr>
                <w:spacing w:val="8"/>
              </w:rPr>
              <w:t>绿的谐波</w:t>
            </w:r>
          </w:p>
        </w:tc>
        <w:tc>
          <w:tcPr>
            <w:tcW w:w="1324" w:type="dxa"/>
            <w:vAlign w:val="top"/>
          </w:tcPr>
          <w:p>
            <w:pPr>
              <w:pStyle w:val="TableText"/>
              <w:ind w:left="236"/>
              <w:spacing w:before="93" w:line="183" w:lineRule="auto"/>
              <w:rPr/>
            </w:pPr>
            <w:r>
              <w:rPr>
                <w:spacing w:val="8"/>
              </w:rPr>
              <w:t>监管警示</w:t>
            </w:r>
          </w:p>
        </w:tc>
        <w:tc>
          <w:tcPr>
            <w:tcW w:w="4949" w:type="dxa"/>
            <w:vAlign w:val="top"/>
          </w:tcPr>
          <w:p>
            <w:pPr>
              <w:pStyle w:val="TableText"/>
              <w:ind w:left="2"/>
              <w:spacing w:before="93" w:line="183" w:lineRule="auto"/>
              <w:rPr/>
            </w:pPr>
            <w:r>
              <w:rPr>
                <w:spacing w:val="9"/>
              </w:rPr>
              <w:t>公司</w:t>
            </w:r>
            <w:r>
              <w:rPr>
                <w:b/>
                <w:bCs/>
                <w:spacing w:val="9"/>
              </w:rPr>
              <w:t>募集资金管理使用和信息披露</w:t>
            </w:r>
            <w:r>
              <w:rPr>
                <w:spacing w:val="9"/>
              </w:rPr>
              <w:t>违规。</w:t>
            </w:r>
          </w:p>
        </w:tc>
      </w:tr>
      <w:tr>
        <w:trPr>
          <w:trHeight w:val="733" w:hRule="atLeast"/>
        </w:trPr>
        <w:tc>
          <w:tcPr>
            <w:shd w:val="clear" w:fill="F2DCDC"/>
            <w:tcW w:w="1671" w:type="dxa"/>
            <w:vAlign w:val="top"/>
          </w:tcPr>
          <w:p>
            <w:pPr>
              <w:pStyle w:val="TableText"/>
              <w:ind w:left="468"/>
              <w:spacing w:before="109" w:line="178" w:lineRule="auto"/>
              <w:rPr/>
            </w:pPr>
            <w:r>
              <w:rPr>
                <w:spacing w:val="3"/>
              </w:rPr>
              <w:t>600080</w:t>
            </w:r>
          </w:p>
        </w:tc>
        <w:tc>
          <w:tcPr>
            <w:shd w:val="clear" w:fill="F2DCDC"/>
            <w:tcW w:w="1215" w:type="dxa"/>
            <w:vAlign w:val="top"/>
          </w:tcPr>
          <w:p>
            <w:pPr>
              <w:pStyle w:val="TableText"/>
              <w:ind w:left="177"/>
              <w:spacing w:before="95" w:line="189" w:lineRule="auto"/>
              <w:rPr/>
            </w:pPr>
            <w:r>
              <w:rPr>
                <w:spacing w:val="9"/>
              </w:rPr>
              <w:t>金花股份</w:t>
            </w:r>
          </w:p>
        </w:tc>
        <w:tc>
          <w:tcPr>
            <w:shd w:val="clear" w:fill="F2DCDC"/>
            <w:tcW w:w="1324" w:type="dxa"/>
            <w:vAlign w:val="top"/>
          </w:tcPr>
          <w:p>
            <w:pPr>
              <w:pStyle w:val="TableText"/>
              <w:ind w:left="236"/>
              <w:spacing w:before="95" w:line="189" w:lineRule="auto"/>
              <w:rPr/>
            </w:pPr>
            <w:r>
              <w:rPr>
                <w:spacing w:val="8"/>
              </w:rPr>
              <w:t>监管警示</w:t>
            </w:r>
          </w:p>
        </w:tc>
        <w:tc>
          <w:tcPr>
            <w:shd w:val="clear" w:fill="F2DCDC"/>
            <w:tcW w:w="4949" w:type="dxa"/>
            <w:vAlign w:val="top"/>
          </w:tcPr>
          <w:p>
            <w:pPr>
              <w:pStyle w:val="TableText"/>
              <w:ind w:left="2" w:right="104"/>
              <w:spacing w:before="93" w:line="220" w:lineRule="auto"/>
              <w:rPr/>
            </w:pPr>
            <w:r>
              <w:rPr>
                <w:spacing w:val="7"/>
              </w:rPr>
              <w:t>公司</w:t>
            </w:r>
            <w:r>
              <w:rPr>
                <w:b/>
                <w:bCs/>
                <w:spacing w:val="7"/>
              </w:rPr>
              <w:t>董事长涉嫌犯罪被依法采取强制措施</w:t>
            </w:r>
            <w:r>
              <w:rPr>
                <w:spacing w:val="7"/>
              </w:rPr>
              <w:t>， 未及</w:t>
            </w:r>
            <w:r>
              <w:rPr>
                <w:spacing w:val="6"/>
              </w:rPr>
              <w:t>时披</w:t>
            </w:r>
            <w:r>
              <w:rPr/>
              <w:t xml:space="preserve"> </w:t>
            </w:r>
            <w:r>
              <w:rPr>
                <w:spacing w:val="8"/>
              </w:rPr>
              <w:t>露重大事项及进展。</w:t>
            </w:r>
          </w:p>
        </w:tc>
      </w:tr>
    </w:tbl>
    <w:p>
      <w:pPr>
        <w:ind w:left="312"/>
        <w:spacing w:before="261" w:line="225" w:lineRule="auto"/>
        <w:outlineLvl w:val="1"/>
        <w:rPr>
          <w:rFonts w:ascii="Microsoft YaHei" w:hAnsi="Microsoft YaHei" w:eastAsia="Microsoft YaHei" w:cs="Microsoft YaHei"/>
          <w:sz w:val="24"/>
          <w:szCs w:val="24"/>
        </w:rPr>
      </w:pPr>
      <w:r>
        <w:rPr>
          <w:rFonts w:ascii="Microsoft YaHei" w:hAnsi="Microsoft YaHei" w:eastAsia="Microsoft YaHei" w:cs="Microsoft YaHei"/>
          <w:sz w:val="24"/>
          <w:szCs w:val="24"/>
          <w:b/>
          <w:bCs/>
          <w:spacing w:val="-12"/>
        </w:rPr>
        <w:t>（2） 问询函统计</w:t>
      </w:r>
    </w:p>
    <w:p>
      <w:pPr>
        <w:ind w:left="488"/>
        <w:spacing w:before="151" w:line="183" w:lineRule="auto"/>
        <w:rPr>
          <w:rFonts w:ascii="Microsoft YaHei" w:hAnsi="Microsoft YaHei" w:eastAsia="Microsoft YaHei" w:cs="Microsoft YaHei"/>
          <w:sz w:val="24"/>
          <w:szCs w:val="24"/>
        </w:rPr>
      </w:pPr>
      <w:r>
        <w:rPr>
          <w:rFonts w:ascii="Microsoft YaHei" w:hAnsi="Microsoft YaHei" w:eastAsia="Microsoft YaHei" w:cs="Microsoft YaHei"/>
          <w:sz w:val="24"/>
          <w:szCs w:val="24"/>
          <w:spacing w:val="-3"/>
        </w:rPr>
        <w:t>2024年8月26日-9月1日， 上交所官网披露了1份问询函。</w:t>
      </w:r>
    </w:p>
    <w:p>
      <w:pPr>
        <w:spacing w:line="231" w:lineRule="exact"/>
        <w:rPr/>
      </w:pPr>
      <w:r/>
    </w:p>
    <w:tbl>
      <w:tblPr>
        <w:tblStyle w:val="TableNormal"/>
        <w:tblW w:w="9216" w:type="dxa"/>
        <w:tblInd w:w="824" w:type="dxa"/>
        <w:tblLayout w:type="fixed"/>
        <w:tblBorders>
          <w:top w:val="single" w:color="C0504D" w:sz="6" w:space="0"/>
          <w:left w:val="single" w:color="C0504D" w:sz="6" w:space="0"/>
          <w:bottom w:val="single" w:color="C0504D" w:sz="6" w:space="0"/>
          <w:right w:val="single" w:color="C0504D" w:sz="6" w:space="0"/>
          <w:insideH w:val="single" w:color="C0504D" w:sz="6" w:space="0"/>
          <w:insideV w:val="single" w:color="C0504D" w:sz="6" w:space="0"/>
        </w:tblBorders>
      </w:tblPr>
      <w:tblGrid>
        <w:gridCol w:w="1673"/>
        <w:gridCol w:w="1215"/>
        <w:gridCol w:w="6328"/>
      </w:tblGrid>
      <w:tr>
        <w:trPr>
          <w:trHeight w:val="372" w:hRule="atLeast"/>
        </w:trPr>
        <w:tc>
          <w:tcPr>
            <w:shd w:val="clear" w:fill="C0504D"/>
            <w:tcW w:w="1673" w:type="dxa"/>
            <w:vAlign w:val="top"/>
            <w:tcBorders>
              <w:bottom w:val="single" w:color="FFFFFF" w:sz="10" w:space="0"/>
            </w:tcBorders>
          </w:tcPr>
          <w:p>
            <w:pPr>
              <w:pStyle w:val="TableText"/>
              <w:ind w:left="412"/>
              <w:spacing w:before="90" w:line="189" w:lineRule="auto"/>
              <w:rPr/>
            </w:pPr>
            <w:r>
              <w:rPr>
                <w:b/>
                <w:bCs/>
                <w:color w:val="FFFFFF"/>
                <w:spacing w:val="8"/>
              </w:rPr>
              <w:t>公司代码</w:t>
            </w:r>
          </w:p>
        </w:tc>
        <w:tc>
          <w:tcPr>
            <w:shd w:val="clear" w:fill="C0504D"/>
            <w:tcW w:w="1215" w:type="dxa"/>
            <w:vAlign w:val="top"/>
            <w:tcBorders>
              <w:bottom w:val="single" w:color="FFFFFF" w:sz="10" w:space="0"/>
            </w:tcBorders>
          </w:tcPr>
          <w:p>
            <w:pPr>
              <w:pStyle w:val="TableText"/>
              <w:ind w:left="179"/>
              <w:spacing w:before="90" w:line="189" w:lineRule="auto"/>
              <w:rPr/>
            </w:pPr>
            <w:r>
              <w:rPr>
                <w:b/>
                <w:bCs/>
                <w:color w:val="FFFFFF"/>
                <w:spacing w:val="8"/>
              </w:rPr>
              <w:t>公司简称</w:t>
            </w:r>
          </w:p>
        </w:tc>
        <w:tc>
          <w:tcPr>
            <w:shd w:val="clear" w:fill="C0504D"/>
            <w:tcW w:w="6328" w:type="dxa"/>
            <w:vAlign w:val="top"/>
            <w:tcBorders>
              <w:bottom w:val="single" w:color="FFFFFF" w:sz="10" w:space="0"/>
            </w:tcBorders>
          </w:tcPr>
          <w:p>
            <w:pPr>
              <w:pStyle w:val="TableText"/>
              <w:ind w:left="2747"/>
              <w:spacing w:before="91" w:line="188" w:lineRule="auto"/>
              <w:rPr/>
            </w:pPr>
            <w:r>
              <w:rPr>
                <w:b/>
                <w:bCs/>
                <w:color w:val="FFFFFF"/>
                <w:spacing w:val="5"/>
              </w:rPr>
              <w:t>函件类别</w:t>
            </w:r>
          </w:p>
        </w:tc>
      </w:tr>
      <w:tr>
        <w:trPr>
          <w:trHeight w:val="362" w:hRule="atLeast"/>
        </w:trPr>
        <w:tc>
          <w:tcPr>
            <w:tcW w:w="1673" w:type="dxa"/>
            <w:vAlign w:val="top"/>
            <w:tcBorders>
              <w:top w:val="single" w:color="FFFFFF" w:sz="10" w:space="0"/>
            </w:tcBorders>
          </w:tcPr>
          <w:p>
            <w:pPr>
              <w:pStyle w:val="TableText"/>
              <w:ind w:left="468"/>
              <w:spacing w:before="97" w:line="178" w:lineRule="auto"/>
              <w:rPr/>
            </w:pPr>
            <w:r>
              <w:rPr>
                <w:spacing w:val="3"/>
              </w:rPr>
              <w:t>600186</w:t>
            </w:r>
          </w:p>
        </w:tc>
        <w:tc>
          <w:tcPr>
            <w:tcW w:w="1215" w:type="dxa"/>
            <w:vAlign w:val="top"/>
            <w:tcBorders>
              <w:top w:val="single" w:color="FFFFFF" w:sz="10" w:space="0"/>
            </w:tcBorders>
          </w:tcPr>
          <w:p>
            <w:pPr>
              <w:pStyle w:val="TableText"/>
              <w:ind w:left="179"/>
              <w:spacing w:before="84" w:line="187" w:lineRule="auto"/>
              <w:rPr/>
            </w:pPr>
            <w:r>
              <w:rPr>
                <w:spacing w:val="8"/>
              </w:rPr>
              <w:t>莲花控股</w:t>
            </w:r>
          </w:p>
        </w:tc>
        <w:tc>
          <w:tcPr>
            <w:tcW w:w="6328" w:type="dxa"/>
            <w:vAlign w:val="top"/>
            <w:tcBorders>
              <w:top w:val="single" w:color="FFFFFF" w:sz="10" w:space="0"/>
            </w:tcBorders>
          </w:tcPr>
          <w:p>
            <w:pPr>
              <w:pStyle w:val="TableText"/>
              <w:ind w:left="2852"/>
              <w:spacing w:before="84" w:line="187" w:lineRule="auto"/>
              <w:rPr/>
            </w:pPr>
            <w:r>
              <w:rPr>
                <w:spacing w:val="4"/>
              </w:rPr>
              <w:t>问询函</w:t>
            </w:r>
          </w:p>
        </w:tc>
      </w:tr>
    </w:tbl>
    <w:p>
      <w:pPr>
        <w:pStyle w:val="BodyText"/>
        <w:spacing w:line="346" w:lineRule="auto"/>
        <w:rPr/>
      </w:pPr>
      <w:r/>
    </w:p>
    <w:p>
      <w:pPr>
        <w:pStyle w:val="BodyText"/>
        <w:spacing w:line="346" w:lineRule="auto"/>
        <w:rPr/>
      </w:pPr>
      <w:r/>
    </w:p>
    <w:p>
      <w:pPr>
        <w:ind w:left="528"/>
        <w:spacing w:before="102" w:line="183" w:lineRule="auto"/>
        <w:outlineLvl w:val="0"/>
        <w:rPr>
          <w:rFonts w:ascii="Microsoft YaHei" w:hAnsi="Microsoft YaHei" w:eastAsia="Microsoft YaHei" w:cs="Microsoft YaHei"/>
          <w:sz w:val="24"/>
          <w:szCs w:val="24"/>
        </w:rPr>
      </w:pPr>
      <w:r>
        <w:rPr>
          <w:rFonts w:ascii="Microsoft YaHei" w:hAnsi="Microsoft YaHei" w:eastAsia="Microsoft YaHei" w:cs="Microsoft YaHei"/>
          <w:sz w:val="24"/>
          <w:szCs w:val="24"/>
          <w:b/>
          <w:bCs/>
          <w:spacing w:val="-2"/>
        </w:rPr>
        <w:t>2、市场交易监管动态</w:t>
      </w:r>
    </w:p>
    <w:p>
      <w:pPr>
        <w:ind w:firstLine="488"/>
        <w:spacing w:before="132" w:line="360" w:lineRule="auto"/>
        <w:rPr>
          <w:rFonts w:ascii="Microsoft YaHei" w:hAnsi="Microsoft YaHei" w:eastAsia="Microsoft YaHei" w:cs="Microsoft YaHei"/>
          <w:sz w:val="24"/>
          <w:szCs w:val="24"/>
        </w:rPr>
      </w:pPr>
      <w:r>
        <w:rPr>
          <w:rFonts w:ascii="Microsoft YaHei" w:hAnsi="Microsoft YaHei" w:eastAsia="Microsoft YaHei" w:cs="Microsoft YaHei"/>
          <w:sz w:val="24"/>
          <w:szCs w:val="24"/>
          <w:spacing w:val="-2"/>
        </w:rPr>
        <w:t>2024年8月26日-9月1日， 上交所对29起拉抬打压、虚假申报等证券异常交易行为采取了书面警示等</w:t>
      </w:r>
      <w:r>
        <w:rPr>
          <w:rFonts w:ascii="Microsoft YaHei" w:hAnsi="Microsoft YaHei" w:eastAsia="Microsoft YaHei" w:cs="Microsoft YaHei"/>
          <w:sz w:val="24"/>
          <w:szCs w:val="24"/>
          <w:spacing w:val="13"/>
        </w:rPr>
        <w:t xml:space="preserve"> </w:t>
      </w:r>
      <w:r>
        <w:rPr>
          <w:rFonts w:ascii="Microsoft YaHei" w:hAnsi="Microsoft YaHei" w:eastAsia="Microsoft YaHei" w:cs="Microsoft YaHei"/>
          <w:sz w:val="24"/>
          <w:szCs w:val="24"/>
          <w:spacing w:val="-3"/>
        </w:rPr>
        <w:t>监管措施， 对14起上市公司重大事项等进行专项核查， 向证监会上报涉嫌违</w:t>
      </w:r>
      <w:r>
        <w:rPr>
          <w:rFonts w:ascii="Microsoft YaHei" w:hAnsi="Microsoft YaHei" w:eastAsia="Microsoft YaHei" w:cs="Microsoft YaHei"/>
          <w:sz w:val="24"/>
          <w:szCs w:val="24"/>
          <w:spacing w:val="-4"/>
        </w:rPr>
        <w:t>法违规案件线索2起。</w:t>
      </w:r>
    </w:p>
    <w:p>
      <w:pPr>
        <w:spacing w:line="360" w:lineRule="auto"/>
        <w:sectPr>
          <w:headerReference w:type="default" r:id="rId2"/>
          <w:pgSz w:w="11910" w:h="16840"/>
          <w:pgMar w:top="400" w:right="459" w:bottom="400" w:left="444" w:header="0" w:footer="0" w:gutter="0"/>
        </w:sectPr>
        <w:rPr>
          <w:rFonts w:ascii="Microsoft YaHei" w:hAnsi="Microsoft YaHei" w:eastAsia="Microsoft YaHei" w:cs="Microsoft YaHei"/>
          <w:sz w:val="24"/>
          <w:szCs w:val="24"/>
        </w:rPr>
      </w:pPr>
    </w:p>
    <w:p>
      <w:pPr>
        <w:ind w:firstLine="2"/>
        <w:spacing w:line="1137" w:lineRule="exact"/>
        <w:rPr/>
      </w:pPr>
      <w:r>
        <w:rPr>
          <w:position w:val="-22"/>
        </w:rPr>
        <w:pict>
          <v:group id="_x0000_s34" style="mso-position-vertical-relative:line;mso-position-horizontal-relative:char;width:67.85pt;height:56.9pt;" filled="false" stroked="false" coordsize="1356,1138" coordorigin="0,0">
            <v:shape id="_x0000_s36" style="position:absolute;left:0;top:0;width:1356;height:1138;" fillcolor="#A61C1F" filled="true" stroked="false" coordsize="1356,1138" coordorigin="0,0" path="m,l1356,0l1356,1137l0,1137l0,0xe"/>
            <v:shape id="_x0000_s38" style="position:absolute;left:237;top:112;width:819;height:913;" fillcolor="#FFFFFF" filled="true" stroked="false" coordsize="819,913" coordorigin="0,0" path="m594,777l223,777l213,771l213,731l223,725l594,725l604,731l604,771l594,777xm582,708l237,708l225,699l225,688l213,635l180,584l136,533l88,480l45,424l12,362l0,298l0,291l5,238l22,188l50,144l84,106l127,73l176,47l230,26l287,11l347,3l409,0l470,3l530,11l587,26l641,47l690,73l733,106l736,109l366,109l358,117l358,125l354,149l353,152l233,152l202,176l190,186l177,195l172,200l172,209l177,215l207,243l210,245l210,249l202,259l196,269l190,280l185,291l185,292l183,292l182,294l170,294l124,298l116,303l116,371l124,375l136,377l182,382l183,382l185,383l185,385l190,395l196,406l202,416l210,426l210,429l200,438l192,445l177,460l172,466l172,474l177,480l225,517l233,522l353,522l356,539l358,549l358,559l366,565l648,565l637,578l604,630l592,688l592,699l582,708xm526,183l523,182l497,172l483,168l469,165l467,165l467,163l466,160l466,149l462,137l462,125l459,117l452,109l736,109l768,144l773,152l587,152l574,154l567,158l530,182l528,182l526,183xm293,183l292,182l290,182l280,176l270,170l262,164l252,158l243,154l233,152l353,152l352,160l352,163l350,165l348,165l334,168l322,172l307,177l294,182l293,183xm686,522l587,522l648,474l646,466l640,460l626,445l617,438l608,429l608,428l610,426l617,416l622,406l627,395l632,385l632,383l634,382l638,382l683,377l693,375l703,371l703,303l693,298l683,297l648,294l638,294l634,292l632,292l632,291l627,280l622,269l617,259l610,249l608,248l608,245l610,243l640,215l646,209l648,200l640,195l628,186l617,176l592,158l587,152l773,152l796,188l813,238l818,291l818,298l806,362l773,422l730,476l686,522xm410,448l354,439l308,415l278,380l267,337l278,295l308,260l354,236l410,228l464,236l509,260l539,295l550,337l539,380l509,415l464,439l410,448xm353,522l243,522l252,515l262,511l270,505l280,500l290,494l292,492l294,492l307,498l322,503l334,506l348,509l352,512l352,515l353,522xm648,565l452,565l459,559l462,549l462,539l466,526l466,514l467,512l467,511l469,509l497,503l510,498l523,492l528,492l530,494l539,500l548,505l557,511l567,515l574,522l686,522l681,527l648,565xm560,912l257,912l247,906l247,865l257,859l560,859l570,865l570,906l560,912xm582,845l235,845l227,839l227,797l235,791l582,791l592,797l592,839l582,845e"/>
          </v:group>
        </w:pict>
      </w:r>
    </w:p>
    <w:p>
      <w:pPr>
        <w:pStyle w:val="BodyText"/>
        <w:spacing w:line="14" w:lineRule="auto"/>
        <w:rPr>
          <w:sz w:val="2"/>
        </w:rPr>
      </w:pPr>
      <w:r>
        <w:rPr>
          <w:sz w:val="2"/>
          <w:szCs w:val="2"/>
        </w:rPr>
        <w:br w:type="column"/>
      </w:r>
    </w:p>
    <w:p>
      <w:pPr>
        <w:spacing w:before="302" w:line="186" w:lineRule="auto"/>
        <w:rPr>
          <w:rFonts w:ascii="Microsoft YaHei" w:hAnsi="Microsoft YaHei" w:eastAsia="Microsoft YaHei" w:cs="Microsoft YaHei"/>
          <w:sz w:val="43"/>
          <w:szCs w:val="43"/>
        </w:rPr>
      </w:pPr>
      <w:r>
        <w:rPr>
          <w:rFonts w:ascii="Microsoft YaHei" w:hAnsi="Microsoft YaHei" w:eastAsia="Microsoft YaHei" w:cs="Microsoft YaHei"/>
          <w:sz w:val="43"/>
          <w:szCs w:val="43"/>
          <w:spacing w:val="7"/>
        </w:rPr>
        <w:t>监管动态</w:t>
      </w:r>
    </w:p>
    <w:p>
      <w:pPr>
        <w:spacing w:line="186" w:lineRule="auto"/>
        <w:sectPr>
          <w:pgSz w:w="11910" w:h="16840"/>
          <w:pgMar w:top="9" w:right="59" w:bottom="400" w:left="12" w:header="0" w:footer="0" w:gutter="0"/>
          <w:cols w:equalWidth="0" w:num="2">
            <w:col w:w="1556" w:space="100"/>
            <w:col w:w="10184" w:space="0"/>
          </w:cols>
        </w:sectPr>
        <w:rPr>
          <w:rFonts w:ascii="Microsoft YaHei" w:hAnsi="Microsoft YaHei" w:eastAsia="Microsoft YaHei" w:cs="Microsoft YaHei"/>
          <w:sz w:val="43"/>
          <w:szCs w:val="43"/>
        </w:rPr>
      </w:pPr>
    </w:p>
    <w:p>
      <w:pPr>
        <w:pStyle w:val="BodyText"/>
        <w:spacing w:line="384" w:lineRule="auto"/>
        <w:rPr/>
      </w:pPr>
      <w:r>
        <w:drawing>
          <wp:anchor distT="0" distB="0" distL="0" distR="0" simplePos="0" relativeHeight="251678720" behindDoc="0" locked="0" layoutInCell="1" allowOverlap="1">
            <wp:simplePos x="0" y="0"/>
            <wp:positionH relativeFrom="column">
              <wp:posOffset>842645</wp:posOffset>
            </wp:positionH>
            <wp:positionV relativeFrom="paragraph">
              <wp:posOffset>-34658</wp:posOffset>
            </wp:positionV>
            <wp:extent cx="6675119" cy="32245"/>
            <wp:effectExtent l="0" t="0" r="0" b="0"/>
            <wp:wrapNone/>
            <wp:docPr id="26" name="IM 26"/>
            <wp:cNvGraphicFramePr/>
            <a:graphic>
              <a:graphicData uri="http://schemas.openxmlformats.org/drawingml/2006/picture">
                <pic:pic>
                  <pic:nvPicPr>
                    <pic:cNvPr id="26" name="IM 26"/>
                    <pic:cNvPicPr/>
                  </pic:nvPicPr>
                  <pic:blipFill>
                    <a:blip r:embed="rId18"/>
                    <a:stretch>
                      <a:fillRect/>
                    </a:stretch>
                  </pic:blipFill>
                  <pic:spPr>
                    <a:xfrm rot="0">
                      <a:off x="0" y="0"/>
                      <a:ext cx="6675119" cy="32245"/>
                    </a:xfrm>
                    <a:prstGeom prst="rect">
                      <a:avLst/>
                    </a:prstGeom>
                  </pic:spPr>
                </pic:pic>
              </a:graphicData>
            </a:graphic>
          </wp:anchor>
        </w:drawing>
      </w:r>
      <w:r/>
    </w:p>
    <w:p>
      <w:pPr>
        <w:spacing w:line="924" w:lineRule="exact"/>
        <w:rPr/>
      </w:pPr>
      <w:r>
        <w:rPr>
          <w:position w:val="-18"/>
        </w:rPr>
        <w:pict>
          <v:group id="_x0000_s40" style="mso-position-vertical-relative:line;mso-position-horizontal-relative:char;width:134.8pt;height:46.25pt;" filled="false" stroked="false" coordsize="2696,925" coordorigin="0,0">
            <v:shape id="_x0000_s42" style="position:absolute;left:0;top:0;width:2696;height:925;" filled="false" stroked="false" type="#_x0000_t75">
              <v:imagedata o:title="" r:id="rId16"/>
            </v:shape>
            <v:shape id="_x0000_s44" style="position:absolute;left:-20;top:-20;width:2736;height:965;" filled="false" stroked="false" type="#_x0000_t202">
              <v:fill on="false"/>
              <v:stroke on="false"/>
              <v:path/>
              <v:imagedata o:title=""/>
              <o:lock v:ext="edit" aspectratio="false"/>
              <v:textbox inset="0mm,0mm,0mm,0mm">
                <w:txbxContent>
                  <w:p>
                    <w:pPr>
                      <w:ind w:left="364"/>
                      <w:spacing w:before="282" w:line="183" w:lineRule="auto"/>
                      <w:rPr>
                        <w:rFonts w:ascii="Microsoft YaHei" w:hAnsi="Microsoft YaHei" w:eastAsia="Microsoft YaHei" w:cs="Microsoft YaHei"/>
                        <w:sz w:val="28"/>
                        <w:szCs w:val="28"/>
                      </w:rPr>
                    </w:pPr>
                    <w:r>
                      <w:rPr>
                        <w:rFonts w:ascii="Microsoft YaHei" w:hAnsi="Microsoft YaHei" w:eastAsia="Microsoft YaHei" w:cs="Microsoft YaHei"/>
                        <w:sz w:val="28"/>
                        <w:szCs w:val="28"/>
                        <w:b/>
                        <w:bCs/>
                        <w:color w:val="FFFFFF"/>
                        <w:spacing w:val="-1"/>
                      </w:rPr>
                      <w:t>深交所监管动态</w:t>
                    </w:r>
                  </w:p>
                </w:txbxContent>
              </v:textbox>
            </v:shape>
          </v:group>
        </w:pict>
      </w:r>
    </w:p>
    <w:p>
      <w:pPr>
        <w:pStyle w:val="BodyText"/>
        <w:spacing w:line="323" w:lineRule="auto"/>
        <w:rPr/>
      </w:pPr>
      <w:r/>
    </w:p>
    <w:p>
      <w:pPr>
        <w:ind w:left="890"/>
        <w:spacing w:before="103" w:line="183" w:lineRule="auto"/>
        <w:outlineLvl w:val="0"/>
        <w:rPr>
          <w:rFonts w:ascii="Microsoft YaHei" w:hAnsi="Microsoft YaHei" w:eastAsia="Microsoft YaHei" w:cs="Microsoft YaHei"/>
          <w:sz w:val="24"/>
          <w:szCs w:val="24"/>
        </w:rPr>
      </w:pPr>
      <w:r>
        <w:rPr>
          <w:rFonts w:ascii="Microsoft YaHei" w:hAnsi="Microsoft YaHei" w:eastAsia="Microsoft YaHei" w:cs="Microsoft YaHei"/>
          <w:sz w:val="24"/>
          <w:szCs w:val="24"/>
          <w:b/>
          <w:bCs/>
          <w:spacing w:val="-6"/>
        </w:rPr>
        <w:t>1、上市公司监管动态</w:t>
      </w:r>
    </w:p>
    <w:p>
      <w:pPr>
        <w:ind w:left="921"/>
        <w:spacing w:before="173" w:line="183" w:lineRule="auto"/>
        <w:rPr>
          <w:rFonts w:ascii="Microsoft YaHei" w:hAnsi="Microsoft YaHei" w:eastAsia="Microsoft YaHei" w:cs="Microsoft YaHei"/>
          <w:sz w:val="24"/>
          <w:szCs w:val="24"/>
        </w:rPr>
      </w:pPr>
      <w:r>
        <w:rPr>
          <w:rFonts w:ascii="Microsoft YaHei" w:hAnsi="Microsoft YaHei" w:eastAsia="Microsoft YaHei" w:cs="Microsoft YaHei"/>
          <w:sz w:val="24"/>
          <w:szCs w:val="24"/>
          <w:spacing w:val="-2"/>
        </w:rPr>
        <w:t>2024年8月26日-9月1日， 深交所发出3份</w:t>
      </w:r>
      <w:r>
        <w:rPr>
          <w:rFonts w:ascii="Microsoft YaHei" w:hAnsi="Microsoft YaHei" w:eastAsia="Microsoft YaHei" w:cs="Microsoft YaHei"/>
          <w:sz w:val="24"/>
          <w:szCs w:val="24"/>
          <w:spacing w:val="-3"/>
        </w:rPr>
        <w:t>监管函,1份纪律处分措施。</w:t>
      </w:r>
    </w:p>
    <w:p>
      <w:pPr>
        <w:pStyle w:val="BodyText"/>
        <w:spacing w:line="413" w:lineRule="auto"/>
        <w:rPr/>
      </w:pPr>
      <w:r/>
    </w:p>
    <w:p>
      <w:pPr>
        <w:ind w:firstLine="1268"/>
        <w:spacing w:line="4431" w:lineRule="exact"/>
        <w:rPr/>
      </w:pPr>
      <w:r>
        <w:rPr>
          <w:position w:val="-88"/>
        </w:rPr>
        <w:drawing>
          <wp:inline distT="0" distB="0" distL="0" distR="0">
            <wp:extent cx="5811520" cy="2813685"/>
            <wp:effectExtent l="0" t="0" r="0" b="0"/>
            <wp:docPr id="28" name="IM 28"/>
            <wp:cNvGraphicFramePr/>
            <a:graphic>
              <a:graphicData uri="http://schemas.openxmlformats.org/drawingml/2006/picture">
                <pic:pic>
                  <pic:nvPicPr>
                    <pic:cNvPr id="28" name="IM 28"/>
                    <pic:cNvPicPr/>
                  </pic:nvPicPr>
                  <pic:blipFill>
                    <a:blip r:embed="rId19"/>
                    <a:stretch>
                      <a:fillRect/>
                    </a:stretch>
                  </pic:blipFill>
                  <pic:spPr>
                    <a:xfrm rot="0">
                      <a:off x="0" y="0"/>
                      <a:ext cx="5811520" cy="2813685"/>
                    </a:xfrm>
                    <a:prstGeom prst="rect">
                      <a:avLst/>
                    </a:prstGeom>
                  </pic:spPr>
                </pic:pic>
              </a:graphicData>
            </a:graphic>
          </wp:inline>
        </w:drawing>
      </w:r>
    </w:p>
    <w:p>
      <w:pPr>
        <w:pStyle w:val="BodyText"/>
        <w:rPr/>
      </w:pPr>
      <w:r/>
    </w:p>
    <w:p>
      <w:pPr>
        <w:ind w:left="745"/>
        <w:spacing w:before="103" w:line="225" w:lineRule="auto"/>
        <w:outlineLvl w:val="1"/>
        <w:rPr>
          <w:rFonts w:ascii="Microsoft YaHei" w:hAnsi="Microsoft YaHei" w:eastAsia="Microsoft YaHei" w:cs="Microsoft YaHei"/>
          <w:sz w:val="24"/>
          <w:szCs w:val="24"/>
        </w:rPr>
      </w:pPr>
      <w:r>
        <w:rPr>
          <w:rFonts w:ascii="Microsoft YaHei" w:hAnsi="Microsoft YaHei" w:eastAsia="Microsoft YaHei" w:cs="Microsoft YaHei"/>
          <w:sz w:val="24"/>
          <w:szCs w:val="24"/>
          <w:b/>
          <w:bCs/>
          <w:spacing w:val="-9"/>
        </w:rPr>
        <w:t>（1） 纪律处分及监管措施</w:t>
      </w:r>
    </w:p>
    <w:p>
      <w:pPr>
        <w:spacing w:before="37"/>
        <w:rPr/>
      </w:pPr>
      <w:r/>
    </w:p>
    <w:p>
      <w:pPr>
        <w:spacing w:before="37"/>
        <w:rPr/>
      </w:pPr>
      <w:r/>
    </w:p>
    <w:p>
      <w:pPr>
        <w:spacing w:before="36"/>
        <w:rPr/>
      </w:pPr>
      <w:r/>
    </w:p>
    <w:tbl>
      <w:tblPr>
        <w:tblStyle w:val="TableNormal"/>
        <w:tblW w:w="9070" w:type="dxa"/>
        <w:tblInd w:w="1307" w:type="dxa"/>
        <w:tblLayout w:type="fixed"/>
        <w:tblBorders>
          <w:top w:val="single" w:color="4F81BD" w:sz="2" w:space="0"/>
          <w:left w:val="single" w:color="4F81BD" w:sz="2" w:space="0"/>
          <w:bottom w:val="single" w:color="4F81BD" w:sz="2" w:space="0"/>
          <w:right w:val="single" w:color="4F81BD" w:sz="2" w:space="0"/>
          <w:insideH w:val="single" w:color="4F81BD" w:sz="2" w:space="0"/>
          <w:insideV w:val="single" w:color="4F81BD" w:sz="2" w:space="0"/>
        </w:tblBorders>
      </w:tblPr>
      <w:tblGrid>
        <w:gridCol w:w="1369"/>
        <w:gridCol w:w="1484"/>
        <w:gridCol w:w="1498"/>
        <w:gridCol w:w="4719"/>
      </w:tblGrid>
      <w:tr>
        <w:trPr>
          <w:trHeight w:val="640" w:hRule="atLeast"/>
        </w:trPr>
        <w:tc>
          <w:tcPr>
            <w:shd w:val="clear" w:fill="4BACC6"/>
            <w:tcW w:w="1369" w:type="dxa"/>
            <w:vAlign w:val="top"/>
          </w:tcPr>
          <w:p>
            <w:pPr>
              <w:pStyle w:val="TableText"/>
              <w:ind w:left="247"/>
              <w:spacing w:before="93" w:line="183" w:lineRule="auto"/>
              <w:rPr>
                <w:sz w:val="22"/>
                <w:szCs w:val="22"/>
              </w:rPr>
            </w:pPr>
            <w:r>
              <w:rPr>
                <w:sz w:val="22"/>
                <w:szCs w:val="22"/>
                <w:b/>
                <w:bCs/>
                <w:color w:val="FFFFFF"/>
                <w:spacing w:val="-1"/>
              </w:rPr>
              <w:t>公司代码</w:t>
            </w:r>
          </w:p>
        </w:tc>
        <w:tc>
          <w:tcPr>
            <w:shd w:val="clear" w:fill="4BACC6"/>
            <w:tcW w:w="1484" w:type="dxa"/>
            <w:vAlign w:val="top"/>
            <w:tcBorders>
              <w:top w:val="nil"/>
            </w:tcBorders>
          </w:tcPr>
          <w:p>
            <w:pPr>
              <w:pStyle w:val="TableText"/>
              <w:ind w:left="301"/>
              <w:spacing w:before="93" w:line="183" w:lineRule="auto"/>
              <w:rPr>
                <w:sz w:val="22"/>
                <w:szCs w:val="22"/>
              </w:rPr>
            </w:pPr>
            <w:r>
              <w:rPr>
                <w:sz w:val="22"/>
                <w:szCs w:val="22"/>
                <w:b/>
                <w:bCs/>
                <w:color w:val="FFFFFF"/>
                <w:spacing w:val="-1"/>
              </w:rPr>
              <w:t>公司简称</w:t>
            </w:r>
          </w:p>
        </w:tc>
        <w:tc>
          <w:tcPr>
            <w:shd w:val="clear" w:fill="4BACC6"/>
            <w:tcW w:w="1498" w:type="dxa"/>
            <w:vAlign w:val="top"/>
            <w:tcBorders>
              <w:top w:val="nil"/>
            </w:tcBorders>
          </w:tcPr>
          <w:p>
            <w:pPr>
              <w:pStyle w:val="TableText"/>
              <w:ind w:left="308"/>
              <w:spacing w:before="92" w:line="184" w:lineRule="auto"/>
              <w:rPr>
                <w:sz w:val="22"/>
                <w:szCs w:val="22"/>
              </w:rPr>
            </w:pPr>
            <w:r>
              <w:rPr>
                <w:sz w:val="22"/>
                <w:szCs w:val="22"/>
                <w:b/>
                <w:bCs/>
                <w:color w:val="FFFFFF"/>
                <w:spacing w:val="-1"/>
              </w:rPr>
              <w:t>监管类型</w:t>
            </w:r>
          </w:p>
        </w:tc>
        <w:tc>
          <w:tcPr>
            <w:shd w:val="clear" w:fill="4BACC6"/>
            <w:tcW w:w="4719" w:type="dxa"/>
            <w:vAlign w:val="top"/>
            <w:tcBorders>
              <w:top w:val="nil"/>
            </w:tcBorders>
          </w:tcPr>
          <w:p>
            <w:pPr>
              <w:pStyle w:val="TableText"/>
              <w:ind w:left="1917"/>
              <w:spacing w:before="92" w:line="184" w:lineRule="auto"/>
              <w:rPr>
                <w:sz w:val="22"/>
                <w:szCs w:val="22"/>
              </w:rPr>
            </w:pPr>
            <w:r>
              <w:rPr>
                <w:sz w:val="22"/>
                <w:szCs w:val="22"/>
                <w:b/>
                <w:bCs/>
                <w:color w:val="FFFFFF"/>
                <w:spacing w:val="-1"/>
              </w:rPr>
              <w:t>处理事由</w:t>
            </w:r>
          </w:p>
        </w:tc>
      </w:tr>
      <w:tr>
        <w:trPr>
          <w:trHeight w:val="609" w:hRule="atLeast"/>
        </w:trPr>
        <w:tc>
          <w:tcPr>
            <w:shd w:val="clear" w:fill="C7DAF1"/>
            <w:tcW w:w="1369" w:type="dxa"/>
            <w:vAlign w:val="top"/>
          </w:tcPr>
          <w:p>
            <w:pPr>
              <w:pStyle w:val="TableText"/>
              <w:ind w:left="326"/>
              <w:spacing w:before="222" w:line="179" w:lineRule="auto"/>
              <w:rPr/>
            </w:pPr>
            <w:r>
              <w:rPr>
                <w:spacing w:val="3"/>
              </w:rPr>
              <w:t>300715</w:t>
            </w:r>
          </w:p>
        </w:tc>
        <w:tc>
          <w:tcPr>
            <w:shd w:val="clear" w:fill="C7DAF1"/>
            <w:tcW w:w="1484" w:type="dxa"/>
            <w:vAlign w:val="top"/>
          </w:tcPr>
          <w:p>
            <w:pPr>
              <w:pStyle w:val="TableText"/>
              <w:ind w:left="326"/>
              <w:spacing w:before="209" w:line="189" w:lineRule="auto"/>
              <w:rPr/>
            </w:pPr>
            <w:r>
              <w:rPr>
                <w:spacing w:val="7"/>
              </w:rPr>
              <w:t>凯伦股份</w:t>
            </w:r>
          </w:p>
        </w:tc>
        <w:tc>
          <w:tcPr>
            <w:shd w:val="clear" w:fill="C7DAF1"/>
            <w:tcW w:w="1498" w:type="dxa"/>
            <w:vAlign w:val="top"/>
          </w:tcPr>
          <w:p>
            <w:pPr>
              <w:pStyle w:val="TableText"/>
              <w:ind w:left="434"/>
              <w:spacing w:before="209" w:line="189" w:lineRule="auto"/>
              <w:rPr/>
            </w:pPr>
            <w:r>
              <w:rPr>
                <w:spacing w:val="8"/>
              </w:rPr>
              <w:t>监管函</w:t>
            </w:r>
          </w:p>
        </w:tc>
        <w:tc>
          <w:tcPr>
            <w:shd w:val="clear" w:fill="C7DAF1"/>
            <w:tcW w:w="4719" w:type="dxa"/>
            <w:vAlign w:val="top"/>
          </w:tcPr>
          <w:p>
            <w:pPr>
              <w:pStyle w:val="TableText"/>
              <w:ind w:left="110"/>
              <w:spacing w:before="209" w:line="189" w:lineRule="auto"/>
              <w:rPr/>
            </w:pPr>
            <w:r>
              <w:rPr>
                <w:spacing w:val="8"/>
              </w:rPr>
              <w:t>董事长、多名董事未履行</w:t>
            </w:r>
            <w:r>
              <w:rPr>
                <w:b/>
                <w:bCs/>
                <w:spacing w:val="8"/>
              </w:rPr>
              <w:t>公开承诺</w:t>
            </w:r>
            <w:r>
              <w:rPr>
                <w:spacing w:val="8"/>
              </w:rPr>
              <w:t>。</w:t>
            </w:r>
          </w:p>
        </w:tc>
      </w:tr>
      <w:tr>
        <w:trPr>
          <w:trHeight w:val="1444" w:hRule="atLeast"/>
        </w:trPr>
        <w:tc>
          <w:tcPr>
            <w:tcW w:w="1369" w:type="dxa"/>
            <w:vAlign w:val="top"/>
          </w:tcPr>
          <w:p>
            <w:pPr>
              <w:spacing w:line="276" w:lineRule="auto"/>
              <w:rPr>
                <w:rFonts w:ascii="Arial"/>
                <w:sz w:val="21"/>
              </w:rPr>
            </w:pPr>
            <w:r/>
          </w:p>
          <w:p>
            <w:pPr>
              <w:spacing w:line="277" w:lineRule="auto"/>
              <w:rPr>
                <w:rFonts w:ascii="Arial"/>
                <w:sz w:val="21"/>
              </w:rPr>
            </w:pPr>
            <w:r/>
          </w:p>
          <w:p>
            <w:pPr>
              <w:pStyle w:val="TableText"/>
              <w:ind w:left="321"/>
              <w:spacing w:before="85" w:line="178" w:lineRule="auto"/>
              <w:rPr/>
            </w:pPr>
            <w:r>
              <w:rPr>
                <w:spacing w:val="3"/>
              </w:rPr>
              <w:t>002350</w:t>
            </w:r>
          </w:p>
        </w:tc>
        <w:tc>
          <w:tcPr>
            <w:tcW w:w="1484" w:type="dxa"/>
            <w:vAlign w:val="top"/>
          </w:tcPr>
          <w:p>
            <w:pPr>
              <w:spacing w:line="269" w:lineRule="auto"/>
              <w:rPr>
                <w:rFonts w:ascii="Arial"/>
                <w:sz w:val="21"/>
              </w:rPr>
            </w:pPr>
            <w:r/>
          </w:p>
          <w:p>
            <w:pPr>
              <w:spacing w:line="269" w:lineRule="auto"/>
              <w:rPr>
                <w:rFonts w:ascii="Arial"/>
                <w:sz w:val="21"/>
              </w:rPr>
            </w:pPr>
            <w:r/>
          </w:p>
          <w:p>
            <w:pPr>
              <w:pStyle w:val="TableText"/>
              <w:ind w:left="321"/>
              <w:spacing w:before="86" w:line="189" w:lineRule="auto"/>
              <w:rPr/>
            </w:pPr>
            <w:r>
              <w:rPr>
                <w:spacing w:val="8"/>
              </w:rPr>
              <w:t>北京科锐</w:t>
            </w:r>
          </w:p>
        </w:tc>
        <w:tc>
          <w:tcPr>
            <w:tcW w:w="1498" w:type="dxa"/>
            <w:vAlign w:val="top"/>
          </w:tcPr>
          <w:p>
            <w:pPr>
              <w:spacing w:line="269" w:lineRule="auto"/>
              <w:rPr>
                <w:rFonts w:ascii="Arial"/>
                <w:sz w:val="21"/>
              </w:rPr>
            </w:pPr>
            <w:r/>
          </w:p>
          <w:p>
            <w:pPr>
              <w:spacing w:line="269" w:lineRule="auto"/>
              <w:rPr>
                <w:rFonts w:ascii="Arial"/>
                <w:sz w:val="21"/>
              </w:rPr>
            </w:pPr>
            <w:r/>
          </w:p>
          <w:p>
            <w:pPr>
              <w:pStyle w:val="TableText"/>
              <w:ind w:left="434"/>
              <w:spacing w:before="86" w:line="189" w:lineRule="auto"/>
              <w:rPr/>
            </w:pPr>
            <w:r>
              <w:rPr>
                <w:spacing w:val="8"/>
              </w:rPr>
              <w:t>监管函</w:t>
            </w:r>
          </w:p>
        </w:tc>
        <w:tc>
          <w:tcPr>
            <w:tcW w:w="4719" w:type="dxa"/>
            <w:vAlign w:val="top"/>
          </w:tcPr>
          <w:p>
            <w:pPr>
              <w:pStyle w:val="TableText"/>
              <w:ind w:left="107" w:right="160" w:firstLine="23"/>
              <w:spacing w:before="84" w:line="236" w:lineRule="auto"/>
              <w:rPr/>
            </w:pPr>
            <w:r>
              <w:rPr>
                <w:spacing w:val="1"/>
              </w:rPr>
              <w:t>自 2021 年</w:t>
            </w:r>
            <w:r>
              <w:rPr>
                <w:spacing w:val="17"/>
                <w:w w:val="101"/>
              </w:rPr>
              <w:t xml:space="preserve"> </w:t>
            </w:r>
            <w:r>
              <w:rPr>
                <w:spacing w:val="1"/>
              </w:rPr>
              <w:t>10 月 30</w:t>
            </w:r>
            <w:r>
              <w:rPr>
                <w:spacing w:val="27"/>
                <w:w w:val="101"/>
              </w:rPr>
              <w:t xml:space="preserve"> </w:t>
            </w:r>
            <w:r>
              <w:rPr>
                <w:spacing w:val="1"/>
              </w:rPr>
              <w:t>日起， 公司董事</w:t>
            </w:r>
            <w:r>
              <w:rPr/>
              <w:t>长</w:t>
            </w:r>
            <w:r>
              <w:rPr>
                <w:b/>
                <w:bCs/>
              </w:rPr>
              <w:t>代为履行 </w:t>
            </w:r>
            <w:r>
              <w:rPr>
                <w:b/>
                <w:bCs/>
                <w:spacing w:val="6"/>
              </w:rPr>
              <w:t>董事会秘书</w:t>
            </w:r>
            <w:r>
              <w:rPr>
                <w:spacing w:val="6"/>
              </w:rPr>
              <w:t>职责， 公司未按规定尽快聘任新的董  </w:t>
            </w:r>
            <w:r>
              <w:rPr>
                <w:spacing w:val="2"/>
              </w:rPr>
              <w:t>事会秘书。直至 2024 年 7 月 18</w:t>
            </w:r>
            <w:r>
              <w:rPr>
                <w:spacing w:val="31"/>
              </w:rPr>
              <w:t xml:space="preserve"> </w:t>
            </w:r>
            <w:r>
              <w:rPr>
                <w:spacing w:val="2"/>
              </w:rPr>
              <w:t>日， 公司才完</w:t>
            </w:r>
            <w:r>
              <w:rPr/>
              <w:t xml:space="preserve">   </w:t>
            </w:r>
            <w:r>
              <w:rPr>
                <w:spacing w:val="8"/>
              </w:rPr>
              <w:t>成董事会秘书的聘任工作。</w:t>
            </w:r>
          </w:p>
        </w:tc>
      </w:tr>
      <w:tr>
        <w:trPr>
          <w:trHeight w:val="610" w:hRule="atLeast"/>
        </w:trPr>
        <w:tc>
          <w:tcPr>
            <w:shd w:val="clear" w:fill="C7DAF1"/>
            <w:tcW w:w="1369" w:type="dxa"/>
            <w:vAlign w:val="top"/>
          </w:tcPr>
          <w:p>
            <w:pPr>
              <w:pStyle w:val="TableText"/>
              <w:ind w:left="326"/>
              <w:spacing w:before="225" w:line="178" w:lineRule="auto"/>
              <w:rPr/>
            </w:pPr>
            <w:r>
              <w:rPr>
                <w:spacing w:val="3"/>
              </w:rPr>
              <w:t>300335</w:t>
            </w:r>
          </w:p>
        </w:tc>
        <w:tc>
          <w:tcPr>
            <w:shd w:val="clear" w:fill="C7DAF1"/>
            <w:tcW w:w="1484" w:type="dxa"/>
            <w:vAlign w:val="top"/>
          </w:tcPr>
          <w:p>
            <w:pPr>
              <w:pStyle w:val="TableText"/>
              <w:ind w:left="321"/>
              <w:spacing w:before="210" w:line="189" w:lineRule="auto"/>
              <w:rPr/>
            </w:pPr>
            <w:r>
              <w:rPr>
                <w:spacing w:val="8"/>
              </w:rPr>
              <w:t>迪森股份</w:t>
            </w:r>
          </w:p>
        </w:tc>
        <w:tc>
          <w:tcPr>
            <w:shd w:val="clear" w:fill="C7DAF1"/>
            <w:tcW w:w="1498" w:type="dxa"/>
            <w:vAlign w:val="top"/>
          </w:tcPr>
          <w:p>
            <w:pPr>
              <w:pStyle w:val="TableText"/>
              <w:ind w:left="434"/>
              <w:spacing w:before="210" w:line="189" w:lineRule="auto"/>
              <w:rPr/>
            </w:pPr>
            <w:r>
              <w:rPr>
                <w:spacing w:val="8"/>
              </w:rPr>
              <w:t>监管函</w:t>
            </w:r>
          </w:p>
        </w:tc>
        <w:tc>
          <w:tcPr>
            <w:shd w:val="clear" w:fill="C7DAF1"/>
            <w:tcW w:w="4719" w:type="dxa"/>
            <w:vAlign w:val="top"/>
          </w:tcPr>
          <w:p>
            <w:pPr>
              <w:pStyle w:val="TableText"/>
              <w:ind w:left="108"/>
              <w:spacing w:before="210" w:line="189" w:lineRule="auto"/>
              <w:rPr/>
            </w:pPr>
            <w:r>
              <w:rPr>
                <w:spacing w:val="9"/>
              </w:rPr>
              <w:t>公司申请强制执行的内容</w:t>
            </w:r>
            <w:r>
              <w:rPr>
                <w:b/>
                <w:bCs/>
                <w:spacing w:val="9"/>
              </w:rPr>
              <w:t>披露错误</w:t>
            </w:r>
            <w:r>
              <w:rPr>
                <w:spacing w:val="9"/>
              </w:rPr>
              <w:t>。</w:t>
            </w:r>
          </w:p>
        </w:tc>
      </w:tr>
      <w:tr>
        <w:trPr>
          <w:trHeight w:val="729" w:hRule="atLeast"/>
        </w:trPr>
        <w:tc>
          <w:tcPr>
            <w:tcW w:w="1369" w:type="dxa"/>
            <w:vAlign w:val="top"/>
          </w:tcPr>
          <w:p>
            <w:pPr>
              <w:pStyle w:val="TableText"/>
              <w:ind w:left="321"/>
              <w:spacing w:before="284" w:line="178" w:lineRule="auto"/>
              <w:rPr/>
            </w:pPr>
            <w:r>
              <w:rPr>
                <w:spacing w:val="3"/>
              </w:rPr>
              <w:t>002229</w:t>
            </w:r>
          </w:p>
        </w:tc>
        <w:tc>
          <w:tcPr>
            <w:tcW w:w="1484" w:type="dxa"/>
            <w:vAlign w:val="top"/>
          </w:tcPr>
          <w:p>
            <w:pPr>
              <w:pStyle w:val="TableText"/>
              <w:ind w:left="322"/>
              <w:spacing w:before="270" w:line="189" w:lineRule="auto"/>
              <w:rPr/>
            </w:pPr>
            <w:r>
              <w:rPr>
                <w:spacing w:val="8"/>
              </w:rPr>
              <w:t>鸿博股份</w:t>
            </w:r>
          </w:p>
        </w:tc>
        <w:tc>
          <w:tcPr>
            <w:tcW w:w="1498" w:type="dxa"/>
            <w:vAlign w:val="top"/>
          </w:tcPr>
          <w:p>
            <w:pPr>
              <w:pStyle w:val="TableText"/>
              <w:ind w:left="327"/>
              <w:spacing w:before="272" w:line="187" w:lineRule="auto"/>
              <w:rPr/>
            </w:pPr>
            <w:r>
              <w:rPr>
                <w:spacing w:val="8"/>
              </w:rPr>
              <w:t>公开谴责</w:t>
            </w:r>
          </w:p>
        </w:tc>
        <w:tc>
          <w:tcPr>
            <w:tcW w:w="4719" w:type="dxa"/>
            <w:vAlign w:val="top"/>
          </w:tcPr>
          <w:p>
            <w:pPr>
              <w:pStyle w:val="TableText"/>
              <w:ind w:left="110" w:right="201" w:hanging="3"/>
              <w:spacing w:before="89" w:line="220" w:lineRule="auto"/>
              <w:rPr/>
            </w:pPr>
            <w:r>
              <w:rPr>
                <w:spacing w:val="9"/>
              </w:rPr>
              <w:t>原控股股东及一致行动人减持行为均发生在</w:t>
            </w:r>
            <w:r>
              <w:rPr>
                <w:b/>
                <w:bCs/>
                <w:spacing w:val="9"/>
              </w:rPr>
              <w:t>收购</w:t>
            </w:r>
            <w:r>
              <w:rPr>
                <w:b/>
                <w:bCs/>
                <w:spacing w:val="15"/>
              </w:rPr>
              <w:t xml:space="preserve"> </w:t>
            </w:r>
            <w:r>
              <w:rPr>
                <w:b/>
                <w:bCs/>
                <w:spacing w:val="4"/>
              </w:rPr>
              <w:t>完成后 18 个月内</w:t>
            </w:r>
            <w:r>
              <w:rPr>
                <w:spacing w:val="4"/>
              </w:rPr>
              <w:t>。</w:t>
            </w:r>
          </w:p>
        </w:tc>
      </w:tr>
    </w:tbl>
    <w:p>
      <w:pPr>
        <w:pStyle w:val="BodyText"/>
        <w:spacing w:line="342" w:lineRule="auto"/>
        <w:rPr/>
      </w:pPr>
      <w:r/>
    </w:p>
    <w:p>
      <w:pPr>
        <w:ind w:left="745"/>
        <w:spacing w:before="104" w:line="225" w:lineRule="auto"/>
        <w:outlineLvl w:val="1"/>
        <w:rPr>
          <w:rFonts w:ascii="Microsoft YaHei" w:hAnsi="Microsoft YaHei" w:eastAsia="Microsoft YaHei" w:cs="Microsoft YaHei"/>
          <w:sz w:val="24"/>
          <w:szCs w:val="24"/>
        </w:rPr>
      </w:pPr>
      <w:r>
        <w:rPr>
          <w:rFonts w:ascii="Microsoft YaHei" w:hAnsi="Microsoft YaHei" w:eastAsia="Microsoft YaHei" w:cs="Microsoft YaHei"/>
          <w:sz w:val="24"/>
          <w:szCs w:val="24"/>
          <w:b/>
          <w:bCs/>
          <w:spacing w:val="-14"/>
        </w:rPr>
        <w:t>（2） 问询函件</w:t>
      </w:r>
    </w:p>
    <w:p>
      <w:pPr>
        <w:ind w:left="921"/>
        <w:spacing w:before="151" w:line="183" w:lineRule="auto"/>
        <w:rPr>
          <w:rFonts w:ascii="Microsoft YaHei" w:hAnsi="Microsoft YaHei" w:eastAsia="Microsoft YaHei" w:cs="Microsoft YaHei"/>
          <w:sz w:val="24"/>
          <w:szCs w:val="24"/>
        </w:rPr>
      </w:pPr>
      <w:r>
        <w:rPr>
          <w:rFonts w:ascii="Microsoft YaHei" w:hAnsi="Microsoft YaHei" w:eastAsia="Microsoft YaHei" w:cs="Microsoft YaHei"/>
          <w:sz w:val="24"/>
          <w:szCs w:val="24"/>
          <w:spacing w:val="-6"/>
        </w:rPr>
        <w:t>2024 年 8 月 26</w:t>
      </w:r>
      <w:r>
        <w:rPr>
          <w:rFonts w:ascii="Microsoft YaHei" w:hAnsi="Microsoft YaHei" w:eastAsia="Microsoft YaHei" w:cs="Microsoft YaHei"/>
          <w:sz w:val="24"/>
          <w:szCs w:val="24"/>
          <w:spacing w:val="27"/>
        </w:rPr>
        <w:t xml:space="preserve"> </w:t>
      </w:r>
      <w:r>
        <w:rPr>
          <w:rFonts w:ascii="Microsoft YaHei" w:hAnsi="Microsoft YaHei" w:eastAsia="Microsoft YaHei" w:cs="Microsoft YaHei"/>
          <w:sz w:val="24"/>
          <w:szCs w:val="24"/>
          <w:spacing w:val="-6"/>
        </w:rPr>
        <w:t>日-9 月 1</w:t>
      </w:r>
      <w:r>
        <w:rPr>
          <w:rFonts w:ascii="Microsoft YaHei" w:hAnsi="Microsoft YaHei" w:eastAsia="Microsoft YaHei" w:cs="Microsoft YaHei"/>
          <w:sz w:val="24"/>
          <w:szCs w:val="24"/>
          <w:spacing w:val="26"/>
          <w:w w:val="101"/>
        </w:rPr>
        <w:t xml:space="preserve"> </w:t>
      </w:r>
      <w:r>
        <w:rPr>
          <w:rFonts w:ascii="Microsoft YaHei" w:hAnsi="Microsoft YaHei" w:eastAsia="Microsoft YaHei" w:cs="Microsoft YaHei"/>
          <w:sz w:val="24"/>
          <w:szCs w:val="24"/>
          <w:spacing w:val="-6"/>
        </w:rPr>
        <w:t>日， 深交所官网未查询</w:t>
      </w:r>
      <w:r>
        <w:rPr>
          <w:rFonts w:ascii="Microsoft YaHei" w:hAnsi="Microsoft YaHei" w:eastAsia="Microsoft YaHei" w:cs="Microsoft YaHei"/>
          <w:sz w:val="24"/>
          <w:szCs w:val="24"/>
          <w:spacing w:val="-7"/>
        </w:rPr>
        <w:t>到问询函件。</w:t>
      </w:r>
    </w:p>
    <w:p>
      <w:pPr>
        <w:pStyle w:val="BodyText"/>
        <w:spacing w:line="274" w:lineRule="auto"/>
        <w:rPr/>
      </w:pPr>
      <w:r/>
    </w:p>
    <w:p>
      <w:pPr>
        <w:ind w:left="919"/>
        <w:spacing w:before="104" w:line="236" w:lineRule="exact"/>
        <w:outlineLvl w:val="0"/>
        <w:rPr>
          <w:rFonts w:ascii="Microsoft YaHei" w:hAnsi="Microsoft YaHei" w:eastAsia="Microsoft YaHei" w:cs="Microsoft YaHei"/>
          <w:sz w:val="24"/>
          <w:szCs w:val="24"/>
        </w:rPr>
      </w:pPr>
      <w:r>
        <w:rPr>
          <w:rFonts w:ascii="Microsoft YaHei" w:hAnsi="Microsoft YaHei" w:eastAsia="Microsoft YaHei" w:cs="Microsoft YaHei"/>
          <w:sz w:val="24"/>
          <w:szCs w:val="24"/>
          <w:b/>
          <w:bCs/>
          <w:spacing w:val="-2"/>
          <w:position w:val="-1"/>
        </w:rPr>
        <w:t>2、市场交易监管动态</w:t>
      </w:r>
    </w:p>
    <w:p>
      <w:pPr>
        <w:spacing w:line="236" w:lineRule="exact"/>
        <w:sectPr>
          <w:type w:val="continuous"/>
          <w:pgSz w:w="11910" w:h="16840"/>
          <w:pgMar w:top="9" w:right="59" w:bottom="400" w:left="12" w:header="0" w:footer="0" w:gutter="0"/>
          <w:cols w:equalWidth="0" w:num="1">
            <w:col w:w="11840" w:space="0"/>
          </w:cols>
        </w:sectPr>
        <w:rPr>
          <w:rFonts w:ascii="Microsoft YaHei" w:hAnsi="Microsoft YaHei" w:eastAsia="Microsoft YaHei" w:cs="Microsoft YaHei"/>
          <w:sz w:val="24"/>
          <w:szCs w:val="24"/>
        </w:rPr>
      </w:pPr>
    </w:p>
    <w:p>
      <w:pPr>
        <w:ind w:firstLine="487"/>
        <w:spacing w:before="98" w:line="359" w:lineRule="auto"/>
        <w:jc w:val="both"/>
        <w:rPr>
          <w:rFonts w:ascii="Microsoft YaHei" w:hAnsi="Microsoft YaHei" w:eastAsia="Microsoft YaHei" w:cs="Microsoft YaHei"/>
          <w:sz w:val="24"/>
          <w:szCs w:val="24"/>
        </w:rPr>
      </w:pPr>
      <w:r>
        <w:rPr>
          <w:rFonts w:ascii="Microsoft YaHei" w:hAnsi="Microsoft YaHei" w:eastAsia="Microsoft YaHei" w:cs="Microsoft YaHei"/>
          <w:sz w:val="24"/>
          <w:szCs w:val="24"/>
          <w:spacing w:val="-7"/>
        </w:rPr>
        <w:t>2</w:t>
      </w:r>
      <w:r>
        <w:rPr>
          <w:rFonts w:ascii="Microsoft YaHei" w:hAnsi="Microsoft YaHei" w:eastAsia="Microsoft YaHei" w:cs="Microsoft YaHei"/>
          <w:sz w:val="24"/>
          <w:szCs w:val="24"/>
          <w:spacing w:val="-6"/>
        </w:rPr>
        <w:t>024 年 8 月 26</w:t>
      </w:r>
      <w:r>
        <w:rPr>
          <w:rFonts w:ascii="Microsoft YaHei" w:hAnsi="Microsoft YaHei" w:eastAsia="Microsoft YaHei" w:cs="Microsoft YaHei"/>
          <w:sz w:val="24"/>
          <w:szCs w:val="24"/>
          <w:spacing w:val="36"/>
        </w:rPr>
        <w:t xml:space="preserve"> </w:t>
      </w:r>
      <w:r>
        <w:rPr>
          <w:rFonts w:ascii="Microsoft YaHei" w:hAnsi="Microsoft YaHei" w:eastAsia="Microsoft YaHei" w:cs="Microsoft YaHei"/>
          <w:sz w:val="24"/>
          <w:szCs w:val="24"/>
          <w:spacing w:val="-6"/>
        </w:rPr>
        <w:t>日-9 月</w:t>
      </w:r>
      <w:r>
        <w:rPr>
          <w:rFonts w:ascii="Microsoft YaHei" w:hAnsi="Microsoft YaHei" w:eastAsia="Microsoft YaHei" w:cs="Microsoft YaHei"/>
          <w:sz w:val="24"/>
          <w:szCs w:val="24"/>
          <w:spacing w:val="16"/>
        </w:rPr>
        <w:t xml:space="preserve"> </w:t>
      </w:r>
      <w:r>
        <w:rPr>
          <w:rFonts w:ascii="Microsoft YaHei" w:hAnsi="Microsoft YaHei" w:eastAsia="Microsoft YaHei" w:cs="Microsoft YaHei"/>
          <w:sz w:val="24"/>
          <w:szCs w:val="24"/>
          <w:spacing w:val="-6"/>
        </w:rPr>
        <w:t>1</w:t>
      </w:r>
      <w:r>
        <w:rPr>
          <w:rFonts w:ascii="Microsoft YaHei" w:hAnsi="Microsoft YaHei" w:eastAsia="Microsoft YaHei" w:cs="Microsoft YaHei"/>
          <w:sz w:val="24"/>
          <w:szCs w:val="24"/>
          <w:spacing w:val="26"/>
          <w:w w:val="101"/>
        </w:rPr>
        <w:t xml:space="preserve"> </w:t>
      </w:r>
      <w:r>
        <w:rPr>
          <w:rFonts w:ascii="Microsoft YaHei" w:hAnsi="Microsoft YaHei" w:eastAsia="Microsoft YaHei" w:cs="Microsoft YaHei"/>
          <w:sz w:val="24"/>
          <w:szCs w:val="24"/>
          <w:spacing w:val="-6"/>
        </w:rPr>
        <w:t>日， 深交所共对</w:t>
      </w:r>
      <w:r>
        <w:rPr>
          <w:rFonts w:ascii="Microsoft YaHei" w:hAnsi="Microsoft YaHei" w:eastAsia="Microsoft YaHei" w:cs="Microsoft YaHei"/>
          <w:sz w:val="24"/>
          <w:szCs w:val="24"/>
          <w:spacing w:val="16"/>
        </w:rPr>
        <w:t xml:space="preserve"> </w:t>
      </w:r>
      <w:r>
        <w:rPr>
          <w:rFonts w:ascii="Microsoft YaHei" w:hAnsi="Microsoft YaHei" w:eastAsia="Microsoft YaHei" w:cs="Microsoft YaHei"/>
          <w:sz w:val="24"/>
          <w:szCs w:val="24"/>
          <w:spacing w:val="-6"/>
        </w:rPr>
        <w:t>107 起证券异常交易行为采取了自律监管措施， 涉及</w:t>
      </w:r>
      <w:r>
        <w:rPr>
          <w:rFonts w:ascii="Microsoft YaHei" w:hAnsi="Microsoft YaHei" w:eastAsia="Microsoft YaHei" w:cs="Microsoft YaHei"/>
          <w:sz w:val="24"/>
          <w:szCs w:val="24"/>
          <w:spacing w:val="-5"/>
        </w:rPr>
        <w:t>盘</w:t>
      </w:r>
      <w:r>
        <w:rPr>
          <w:rFonts w:ascii="Microsoft YaHei" w:hAnsi="Microsoft YaHei" w:eastAsia="Microsoft YaHei" w:cs="Microsoft YaHei"/>
          <w:sz w:val="24"/>
          <w:szCs w:val="24"/>
        </w:rPr>
        <w:t xml:space="preserve"> </w:t>
      </w:r>
      <w:r>
        <w:rPr>
          <w:rFonts w:ascii="Microsoft YaHei" w:hAnsi="Microsoft YaHei" w:eastAsia="Microsoft YaHei" w:cs="Microsoft YaHei"/>
          <w:sz w:val="24"/>
          <w:szCs w:val="24"/>
          <w:spacing w:val="-3"/>
        </w:rPr>
        <w:t>中拉抬打压、虚假申报等异常交易情形； 对近期股价连续上涨的“*ST 景峰”进行重点监控； 共对 9 起</w:t>
      </w:r>
      <w:r>
        <w:rPr>
          <w:rFonts w:ascii="Microsoft YaHei" w:hAnsi="Microsoft YaHei" w:eastAsia="Microsoft YaHei" w:cs="Microsoft YaHei"/>
          <w:sz w:val="24"/>
          <w:szCs w:val="24"/>
          <w:spacing w:val="16"/>
        </w:rPr>
        <w:t xml:space="preserve"> </w:t>
      </w:r>
      <w:r>
        <w:rPr>
          <w:rFonts w:ascii="Microsoft YaHei" w:hAnsi="Microsoft YaHei" w:eastAsia="Microsoft YaHei" w:cs="Microsoft YaHei"/>
          <w:sz w:val="24"/>
          <w:szCs w:val="24"/>
          <w:spacing w:val="-3"/>
        </w:rPr>
        <w:t>上市公司重大事项进行核查， 并上报证监会 3 起涉嫌违法违规案件线索。</w:t>
      </w:r>
    </w:p>
    <w:p>
      <w:pPr>
        <w:ind w:left="536"/>
        <w:spacing w:before="112" w:line="174" w:lineRule="auto"/>
        <w:outlineLvl w:val="0"/>
        <w:rPr>
          <w:rFonts w:ascii="Microsoft YaHei" w:hAnsi="Microsoft YaHei" w:eastAsia="Microsoft YaHei" w:cs="Microsoft YaHei"/>
          <w:sz w:val="24"/>
          <w:szCs w:val="24"/>
        </w:rPr>
      </w:pPr>
      <w:r>
        <w:rPr>
          <w:rFonts w:ascii="Microsoft YaHei" w:hAnsi="Microsoft YaHei" w:eastAsia="Microsoft YaHei" w:cs="Microsoft YaHei"/>
          <w:sz w:val="28"/>
          <w:szCs w:val="28"/>
          <w:b/>
          <w:bCs/>
          <w:spacing w:val="-3"/>
        </w:rPr>
        <w:t>3、</w:t>
      </w:r>
      <w:r>
        <w:rPr>
          <w:rFonts w:ascii="Microsoft YaHei" w:hAnsi="Microsoft YaHei" w:eastAsia="Microsoft YaHei" w:cs="Microsoft YaHei"/>
          <w:sz w:val="24"/>
          <w:szCs w:val="24"/>
          <w:b/>
          <w:bCs/>
          <w:spacing w:val="-3"/>
        </w:rPr>
        <w:t>会员监管动态</w:t>
      </w:r>
    </w:p>
    <w:p>
      <w:pPr>
        <w:pStyle w:val="BodyText"/>
        <w:spacing w:line="253" w:lineRule="auto"/>
        <w:rPr/>
      </w:pPr>
      <w:r/>
    </w:p>
    <w:p>
      <w:pPr>
        <w:ind w:left="7" w:firstLine="480"/>
        <w:spacing w:before="103" w:line="358" w:lineRule="auto"/>
        <w:rPr>
          <w:rFonts w:ascii="Microsoft YaHei" w:hAnsi="Microsoft YaHei" w:eastAsia="Microsoft YaHei" w:cs="Microsoft YaHei"/>
          <w:sz w:val="24"/>
          <w:szCs w:val="24"/>
        </w:rPr>
      </w:pPr>
      <w:r>
        <w:rPr>
          <w:rFonts w:ascii="Microsoft YaHei" w:hAnsi="Microsoft YaHei" w:eastAsia="Microsoft YaHei" w:cs="Microsoft YaHei"/>
          <w:sz w:val="24"/>
          <w:szCs w:val="24"/>
          <w:spacing w:val="-2"/>
        </w:rPr>
        <w:t>2024 年 8 月 26</w:t>
      </w:r>
      <w:r>
        <w:rPr>
          <w:rFonts w:ascii="Microsoft YaHei" w:hAnsi="Microsoft YaHei" w:eastAsia="Microsoft YaHei" w:cs="Microsoft YaHei"/>
          <w:sz w:val="24"/>
          <w:szCs w:val="24"/>
          <w:spacing w:val="29"/>
        </w:rPr>
        <w:t xml:space="preserve"> </w:t>
      </w:r>
      <w:r>
        <w:rPr>
          <w:rFonts w:ascii="Microsoft YaHei" w:hAnsi="Microsoft YaHei" w:eastAsia="Microsoft YaHei" w:cs="Microsoft YaHei"/>
          <w:sz w:val="24"/>
          <w:szCs w:val="24"/>
          <w:spacing w:val="-2"/>
        </w:rPr>
        <w:t>日-9 月 1</w:t>
      </w:r>
      <w:r>
        <w:rPr>
          <w:rFonts w:ascii="Microsoft YaHei" w:hAnsi="Microsoft YaHei" w:eastAsia="Microsoft YaHei" w:cs="Microsoft YaHei"/>
          <w:sz w:val="24"/>
          <w:szCs w:val="24"/>
          <w:spacing w:val="29"/>
        </w:rPr>
        <w:t xml:space="preserve"> </w:t>
      </w:r>
      <w:r>
        <w:rPr>
          <w:rFonts w:ascii="Microsoft YaHei" w:hAnsi="Microsoft YaHei" w:eastAsia="Microsoft YaHei" w:cs="Microsoft YaHei"/>
          <w:sz w:val="24"/>
          <w:szCs w:val="24"/>
          <w:spacing w:val="-2"/>
        </w:rPr>
        <w:t>日， 针</w:t>
      </w:r>
      <w:r>
        <w:rPr>
          <w:rFonts w:ascii="Microsoft YaHei" w:hAnsi="Microsoft YaHei" w:eastAsia="Microsoft YaHei" w:cs="Microsoft YaHei"/>
          <w:sz w:val="24"/>
          <w:szCs w:val="24"/>
          <w:spacing w:val="-3"/>
        </w:rPr>
        <w:t>对股票发行上市申请项目中保荐机构及保荐代表人存在违规行为</w:t>
      </w:r>
      <w:r>
        <w:rPr>
          <w:rFonts w:ascii="Microsoft YaHei" w:hAnsi="Microsoft YaHei" w:eastAsia="Microsoft YaHei" w:cs="Microsoft YaHei"/>
          <w:sz w:val="24"/>
          <w:szCs w:val="24"/>
        </w:rPr>
        <w:t xml:space="preserve"> </w:t>
      </w:r>
      <w:r>
        <w:rPr>
          <w:rFonts w:ascii="Microsoft YaHei" w:hAnsi="Microsoft YaHei" w:eastAsia="Microsoft YaHei" w:cs="Microsoft YaHei"/>
          <w:sz w:val="24"/>
          <w:szCs w:val="24"/>
          <w:spacing w:val="-3"/>
        </w:rPr>
        <w:t>的情形， 深交所对一家会员及相关保荐代表人采取了书面警示的监管措施。</w:t>
      </w:r>
    </w:p>
    <w:sectPr>
      <w:pgSz w:w="11910" w:h="16840"/>
      <w:pgMar w:top="400" w:right="639" w:bottom="400" w:left="445" w:header="0" w:footer="0" w:gutter="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T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default"/>
    <w:sig w:usb0="00000003" w:usb1="288F0000" w:usb2="00000006"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altName w:val="SimHei"/>
    <w:panose1 w:val="02010609060101010101"/>
    <w:charset w:val="86"/>
    <w:family w:val="auto"/>
    <w:pitch w:val="default"/>
    <w:sig w:usb0="800002BF" w:usb1="38CF7CFA" w:usb2="00000016" w:usb3="00000000" w:csb0="00040001" w:csb1="00000000"/>
  </w:font>
  <w:font w:name="SimHei">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86"/>
    <w:family w:val="auto"/>
    <w:pitch w:val="default"/>
    <w:sig w:usb0="E0002EFF" w:usb1="C000785B" w:usb2="00000009" w:usb3="00000000" w:csb0="400001FF" w:csb1="FFFF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spacing w:line="14" w:lineRule="auto"/>
      <w:rPr>
        <w:sz w:val="2"/>
      </w:rPr>
    </w:p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spacing w:line="14" w:lineRule="auto"/>
      <w:rPr>
        <w:sz w:val="2"/>
      </w:rPr>
    </w:pPr>
    <w:r>
      <w:drawing>
        <wp:anchor distT="0" distB="0" distL="0" distR="0" simplePos="0" relativeHeight="251658240" behindDoc="1" locked="0" layoutInCell="0" allowOverlap="1">
          <wp:simplePos x="0" y="0"/>
          <wp:positionH relativeFrom="page">
            <wp:posOffset>0</wp:posOffset>
          </wp:positionH>
          <wp:positionV relativeFrom="page">
            <wp:posOffset>0</wp:posOffset>
          </wp:positionV>
          <wp:extent cx="7562850" cy="7441692"/>
          <wp:effectExtent l="0" t="0" r="0" b="0"/>
          <wp:wrapNone/>
          <wp:docPr id="2" name="IM 2"/>
          <wp:cNvGraphicFramePr/>
          <a:graphic>
            <a:graphicData uri="http://schemas.openxmlformats.org/drawingml/2006/picture">
              <pic:pic>
                <pic:nvPicPr>
                  <pic:cNvPr id="2" name="IM 2"/>
                  <pic:cNvPicPr/>
                </pic:nvPicPr>
                <pic:blipFill>
                  <a:blip r:embed="rId1"/>
                  <a:stretch>
                    <a:fillRect/>
                  </a:stretch>
                </pic:blipFill>
                <pic:spPr>
                  <a:xfrm rot="0">
                    <a:off x="0" y="0"/>
                    <a:ext cx="7562850" cy="7441692"/>
                  </a:xfrm>
                  <a:prstGeom prst="rect">
                    <a:avLst/>
                  </a:prstGeom>
                </pic:spPr>
              </pic:pic>
            </a:graphicData>
          </a:graphic>
        </wp:anchor>
      </w:drawing>
    </w: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spacing w:line="14" w:lineRule="auto"/>
      <w:rPr>
        <w:sz w:val="2"/>
      </w:rPr>
    </w:pPr>
    <w:r/>
  </w:p>
</w:hdr>
</file>

<file path=word/header3.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spacing w:line="14" w:lineRule="auto"/>
      <w:rPr>
        <w:sz w:val="2"/>
      </w:rPr>
    </w:pPr>
    <w:r>
      <w:pict>
        <v:shape id="_x0000_s26" style="position:absolute;margin-left:120.654pt;margin-top:81.178pt;mso-position-vertical-relative:page;mso-position-horizontal-relative:page;width:13.8pt;height:17.7pt;z-index:251659264;" o:allowincell="f" filled="false" stroked="false" type="#_x0000_t202">
          <v:fill on="false"/>
          <v:stroke on="false"/>
          <v:path/>
          <v:imagedata o:title=""/>
          <o:lock v:ext="edit" aspectratio="false"/>
          <v:textbox inset="0mm,0mm,0mm,0mm">
            <w:txbxContent>
              <w:p>
                <w:pPr>
                  <w:ind w:left="20"/>
                  <w:spacing w:before="20" w:line="182" w:lineRule="auto"/>
                  <w:rPr>
                    <w:rFonts w:ascii="Microsoft YaHei" w:hAnsi="Microsoft YaHei" w:eastAsia="Microsoft YaHei" w:cs="Microsoft YaHei"/>
                    <w:sz w:val="24"/>
                    <w:szCs w:val="24"/>
                  </w:rPr>
                </w:pPr>
                <w:r>
                  <w:rPr>
                    <w:rFonts w:ascii="Microsoft YaHei" w:hAnsi="Microsoft YaHei" w:eastAsia="Microsoft YaHei" w:cs="Microsoft YaHei"/>
                    <w:sz w:val="24"/>
                    <w:szCs w:val="24"/>
                    <w:b/>
                    <w:bCs/>
                  </w:rPr>
                  <w:t>管</w:t>
                </w:r>
              </w:p>
            </w:txbxContent>
          </v:textbox>
        </v:shape>
      </w:pict>
    </w:r>
    <w:r/>
  </w:p>
</w:hdr>
</file>

<file path=word/settings.xml><?xml version="1.0" encoding="utf-8"?>
<w:settings xmlns:w="http://schemas.openxmlformats.org/wordprocessingml/2006/main">
  <w:displayBackgroundShape/>
  <w:characterSpacingControl w:val="doNotCompress"/>
  <w:compat>
    <w:spaceForUL/>
    <w:ulTrailSpace/>
    <w:compatSetting w:name="compatibilityMode" w:uri="http://schemas.microsoft.com/office/word" w:val="14"/>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0="urn:schemas-microsoft-com:office:word" xmlns:sl="http://schemas.openxmlformats.org/schemaLibrary/2006/main" xmlns:w14="http://schemas.microsoft.com/office/word/2010/wordml" mc:Ignorable="w14">
  <w:docDefaults>
    <w:rPrDefault>
      <w:rPr>
        <w:rFonts w:ascii="Arial" w:hAnsi="Arial" w:eastAsia="Arial" w:cs="Arial"/>
        <w:sz w:val="21"/>
        <w:szCs w:val="21"/>
        <w:lang w:val="en-US" w:eastAsia="en-US" w:bidi="ar-SA"/>
        <w:color w:val="000000"/>
        <w:kern w:val="0"/>
        <w:snapToGrid w:val="0"/>
      </w:rPr>
    </w:rPrDefault>
  </w:docDefaults>
  <w:style w:type="paragraph" w:styleId="Normal" w:default="1">
    <w:name w:val="Normal"/>
    <w:semiHidden/>
    <w:qFormat/>
    <w:pPr>
      <w:spacing w:line="240" w:lineRule="auto"/>
      <w:jc w:val="left"/>
      <w:autoSpaceDE w:val="0"/>
      <w:autoSpaceDN w:val="0"/>
      <w:adjustRightInd w:val="0"/>
      <w:snapToGrid w:val="0"/>
      <w:kinsoku w:val="0"/>
      <w:textAlignment w:val="baseline"/>
    </w:pPr>
    <w:rPr>
      <w:color w:val="000000"/>
      <w:kern w:val="0"/>
      <w:snapToGrid w:val="0"/>
      <w:noProof w:val="1"/>
    </w:rPr>
  </w:style>
  <w:style w:type="table" w:styleId="TableNormal" w:default="1">
    <w:name w:val="Table Normal"/>
    <w:semiHidden/>
    <w:unhideWhenUsed/>
    <w:qFormat/>
    <w:tblPr>
      <w:tblCellMar>
        <w:left w:w="0" w:type="dxa"/>
        <w:right w:w="0" w:type="dxa"/>
        <w:bottom w:w="0" w:type="dxa"/>
        <w:top w:w="0" w:type="dxa"/>
      </w:tblCellMar>
    </w:tblPr>
  </w:style>
  <w:style w:type="paragraph" w:styleId="BodyText">
    <w:name w:val="Body Text"/>
    <w:basedOn w:val="Normal"/>
    <w:semiHidden/>
    <w:qFormat/>
    <w:pPr/>
    <w:rPr>
      <w:rFonts w:ascii="Arial" w:hAnsi="Arial" w:eastAsia="Arial" w:cs="Arial"/>
      <w:sz w:val="21"/>
      <w:szCs w:val="21"/>
      <w:lang w:val="en-US" w:eastAsia="en-US" w:bidi="ar-SA"/>
    </w:rPr>
  </w:style>
  <w:style w:type="paragraph" w:styleId="TableText">
    <w:name w:val="Table Text"/>
    <w:basedOn w:val="Normal"/>
    <w:semiHidden/>
    <w:qFormat/>
    <w:pPr/>
    <w:rPr>
      <w:rFonts w:ascii="Microsoft YaHei" w:hAnsi="Microsoft YaHei" w:eastAsia="Microsoft YaHei" w:cs="Microsoft YaHei"/>
      <w:sz w:val="20"/>
      <w:szCs w:val="20"/>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8.jpeg"/><Relationship Id="rId8" Type="http://schemas.openxmlformats.org/officeDocument/2006/relationships/image" Target="media/image7.jpeg"/><Relationship Id="rId7" Type="http://schemas.openxmlformats.org/officeDocument/2006/relationships/image" Target="media/image6.jpeg"/><Relationship Id="rId6" Type="http://schemas.openxmlformats.org/officeDocument/2006/relationships/image" Target="media/image5.jpeg"/><Relationship Id="rId5" Type="http://schemas.openxmlformats.org/officeDocument/2006/relationships/image" Target="media/image4.jpeg"/><Relationship Id="rId4" Type="http://schemas.openxmlformats.org/officeDocument/2006/relationships/image" Target="media/image3.jpeg"/><Relationship Id="rId3" Type="http://schemas.openxmlformats.org/officeDocument/2006/relationships/image" Target="media/image2.jpeg"/><Relationship Id="rId22" Type="http://schemas.openxmlformats.org/officeDocument/2006/relationships/fontTable" Target="fontTable.xml"/><Relationship Id="rId21" Type="http://schemas.openxmlformats.org/officeDocument/2006/relationships/styles" Target="styles.xml"/><Relationship Id="rId20" Type="http://schemas.openxmlformats.org/officeDocument/2006/relationships/settings" Target="settings.xml"/><Relationship Id="rId2" Type="http://schemas.openxmlformats.org/officeDocument/2006/relationships/header" Target="header2.xml"/><Relationship Id="rId19" Type="http://schemas.openxmlformats.org/officeDocument/2006/relationships/image" Target="media/image16.jpeg"/><Relationship Id="rId18" Type="http://schemas.openxmlformats.org/officeDocument/2006/relationships/image" Target="media/image15.jpeg"/><Relationship Id="rId17" Type="http://schemas.openxmlformats.org/officeDocument/2006/relationships/image" Target="media/image14.jpeg"/><Relationship Id="rId16" Type="http://schemas.openxmlformats.org/officeDocument/2006/relationships/image" Target="media/image13.jpeg"/><Relationship Id="rId15" Type="http://schemas.openxmlformats.org/officeDocument/2006/relationships/image" Target="media/image12.jpeg"/><Relationship Id="rId14" Type="http://schemas.openxmlformats.org/officeDocument/2006/relationships/header" Target="header3.xml"/><Relationship Id="rId13" Type="http://schemas.openxmlformats.org/officeDocument/2006/relationships/footer" Target="footer1.xml"/><Relationship Id="rId12" Type="http://schemas.openxmlformats.org/officeDocument/2006/relationships/image" Target="media/image11.jpeg"/><Relationship Id="rId11" Type="http://schemas.openxmlformats.org/officeDocument/2006/relationships/image" Target="media/image10.jpeg"/><Relationship Id="rId10" Type="http://schemas.openxmlformats.org/officeDocument/2006/relationships/image" Target="media/image9.jpeg"/><Relationship Id="rId1"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docProps/app.xml><?xml version="1.0" encoding="utf-8"?>
<ap:Properties xmlns:vt="http://schemas.openxmlformats.org/officeDocument/2006/docPropsVTypes" xmlns:ap="http://schemas.openxmlformats.org/officeDocument/2006/extended-properties">
  <ap:Application>WPS 文字</ap:Application>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白尚武</dc:creator>
  <dcterms:created xsi:type="dcterms:W3CDTF">2024-09-02T10:41:18Z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wqlLaW5nc29mdCBQREYgdG8gV1BTIDEwMA</vt:lpwstr>
  </property>
  <property fmtid="{D5CDD505-2E9C-101B-9397-08002B2CF9AE}" pid="3" name="Created">
    <vt:filetime>2024-09-02T11:54:07</vt:filetime>
  </property>
</Properties>
</file>