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61" w:lineRule="auto"/>
        <w:rPr/>
      </w:pPr>
      <w:r/>
    </w:p>
    <w:p>
      <w:pPr>
        <w:pStyle w:val="BodyText"/>
        <w:spacing w:line="261"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ind w:left="2592"/>
        <w:spacing w:before="356" w:line="216" w:lineRule="auto"/>
        <w:outlineLvl w:val="0"/>
        <w:rPr>
          <w:rFonts w:ascii="Microsoft YaHei" w:hAnsi="Microsoft YaHei" w:eastAsia="Microsoft YaHei" w:cs="Microsoft YaHei"/>
          <w:sz w:val="83"/>
          <w:szCs w:val="83"/>
        </w:rPr>
      </w:pPr>
      <w:r>
        <w:rPr>
          <w:rFonts w:ascii="Microsoft YaHei" w:hAnsi="Microsoft YaHei" w:eastAsia="Microsoft YaHei" w:cs="Microsoft YaHei"/>
          <w:sz w:val="83"/>
          <w:szCs w:val="83"/>
          <w:b/>
          <w:bCs/>
          <w:color w:val="FFFFFF"/>
          <w:spacing w:val="7"/>
        </w:rPr>
        <w:t>一周法规速递|监管动态</w:t>
      </w:r>
    </w:p>
    <w:p>
      <w:pPr>
        <w:ind w:left="5717"/>
        <w:spacing w:before="7"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1"/>
        </w:rPr>
        <w:t>2024年08月19日—2024年08月25日</w:t>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ind w:left="4586" w:right="3731" w:hanging="886"/>
        <w:spacing w:before="133" w:line="369" w:lineRule="auto"/>
        <w:rPr>
          <w:rFonts w:ascii="Microsoft YaHei" w:hAnsi="Microsoft YaHei" w:eastAsia="Microsoft YaHei" w:cs="Microsoft YaHei"/>
          <w:sz w:val="31"/>
          <w:szCs w:val="31"/>
        </w:rPr>
      </w:pPr>
      <w:r>
        <w:rPr>
          <w:rFonts w:ascii="Microsoft YaHei" w:hAnsi="Microsoft YaHei" w:eastAsia="Microsoft YaHei" w:cs="Microsoft YaHei"/>
          <w:sz w:val="31"/>
          <w:szCs w:val="31"/>
          <w:b/>
          <w:bCs/>
          <w:spacing w:val="9"/>
        </w:rPr>
        <w:t>深圳价值在线咨询顾问有限公司</w:t>
      </w:r>
      <w:r>
        <w:rPr>
          <w:rFonts w:ascii="Microsoft YaHei" w:hAnsi="Microsoft YaHei" w:eastAsia="Microsoft YaHei" w:cs="Microsoft YaHei"/>
          <w:sz w:val="31"/>
          <w:szCs w:val="31"/>
          <w:b/>
          <w:bCs/>
          <w:spacing w:val="11"/>
        </w:rPr>
        <w:t xml:space="preserve"> </w:t>
      </w:r>
      <w:r>
        <w:rPr>
          <w:rFonts w:ascii="Microsoft YaHei" w:hAnsi="Microsoft YaHei" w:eastAsia="Microsoft YaHei" w:cs="Microsoft YaHei"/>
          <w:sz w:val="31"/>
          <w:szCs w:val="31"/>
          <w:b/>
          <w:bCs/>
          <w:spacing w:val="5"/>
        </w:rPr>
        <w:t>2024年08月26日</w:t>
      </w:r>
    </w:p>
    <w:p>
      <w:pPr>
        <w:spacing w:line="369" w:lineRule="auto"/>
        <w:sectPr>
          <w:headerReference w:type="default" r:id="rId1"/>
          <w:pgSz w:w="11910" w:h="16840"/>
          <w:pgMar w:top="400" w:right="0" w:bottom="0" w:left="0" w:header="0" w:footer="0" w:gutter="0"/>
        </w:sectPr>
        <w:rPr>
          <w:rFonts w:ascii="Microsoft YaHei" w:hAnsi="Microsoft YaHei" w:eastAsia="Microsoft YaHei" w:cs="Microsoft YaHei"/>
          <w:sz w:val="31"/>
          <w:szCs w:val="31"/>
        </w:rPr>
      </w:pPr>
    </w:p>
    <w:p>
      <w:pPr>
        <w:rPr>
          <w:rFonts w:ascii="Microsoft YaHei" w:hAnsi="Microsoft YaHei" w:eastAsia="Microsoft YaHei" w:cs="Microsoft YaHei"/>
          <w:sz w:val="43"/>
          <w:szCs w:val="43"/>
        </w:rPr>
      </w:pPr>
      <w:r>
        <w:drawing>
          <wp:anchor distT="0" distB="0" distL="0" distR="0" simplePos="0" relativeHeight="251658240" behindDoc="1" locked="0" layoutInCell="1" allowOverlap="1">
            <wp:simplePos x="0" y="0"/>
            <wp:positionH relativeFrom="column">
              <wp:posOffset>803275</wp:posOffset>
            </wp:positionH>
            <wp:positionV relativeFrom="paragraph">
              <wp:posOffset>580923</wp:posOffset>
            </wp:positionV>
            <wp:extent cx="6674484" cy="34493"/>
            <wp:effectExtent l="0" t="0" r="0" b="0"/>
            <wp:wrapNone/>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6674484" cy="34493"/>
                    </a:xfrm>
                    <a:prstGeom prst="rect">
                      <a:avLst/>
                    </a:prstGeom>
                  </pic:spPr>
                </pic:pic>
              </a:graphicData>
            </a:graphic>
          </wp:anchor>
        </w:drawing>
      </w:r>
      <w:r>
        <w:rPr>
          <w:rFonts w:ascii="Microsoft YaHei" w:hAnsi="Microsoft YaHei" w:eastAsia="Microsoft YaHei" w:cs="Microsoft YaHei"/>
          <w:sz w:val="43"/>
          <w:szCs w:val="43"/>
          <w:position w:val="-39"/>
        </w:rPr>
        <w:drawing>
          <wp:inline distT="0" distB="0" distL="0" distR="0">
            <wp:extent cx="803148" cy="625475"/>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803148" cy="625475"/>
                    </a:xfrm>
                    <a:prstGeom prst="rect">
                      <a:avLst/>
                    </a:prstGeom>
                  </pic:spPr>
                </pic:pic>
              </a:graphicData>
            </a:graphic>
          </wp:inline>
        </w:drawing>
      </w:r>
      <w:r>
        <w:rPr>
          <w:rFonts w:ascii="Microsoft YaHei" w:hAnsi="Microsoft YaHei" w:eastAsia="Microsoft YaHei" w:cs="Microsoft YaHei"/>
          <w:sz w:val="43"/>
          <w:szCs w:val="43"/>
          <w:spacing w:val="15"/>
        </w:rPr>
        <w:t xml:space="preserve">   </w:t>
      </w:r>
      <w:r>
        <w:rPr>
          <w:rFonts w:ascii="Microsoft YaHei" w:hAnsi="Microsoft YaHei" w:eastAsia="Microsoft YaHei" w:cs="Microsoft YaHei"/>
          <w:sz w:val="43"/>
          <w:szCs w:val="43"/>
          <w:spacing w:val="8"/>
        </w:rPr>
        <w:t>法规速递</w:t>
      </w:r>
    </w:p>
    <w:p>
      <w:pPr>
        <w:ind w:left="1146"/>
        <w:spacing w:before="159" w:line="184" w:lineRule="auto"/>
        <w:outlineLvl w:val="0"/>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0B0B0B"/>
          <w:spacing w:val="-2"/>
        </w:rPr>
        <w:t>1、关于办理财务造假犯罪案件有关问题的解答</w:t>
      </w:r>
    </w:p>
    <w:p>
      <w:pPr>
        <w:ind w:left="1148"/>
        <w:spacing w:before="335" w:line="18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3"/>
        </w:rPr>
        <w:t>为深入学习贯彻党的二十届三中全会精神， </w:t>
      </w:r>
      <w:r>
        <w:rPr>
          <w:rFonts w:ascii="Microsoft YaHei" w:hAnsi="Microsoft YaHei" w:eastAsia="Microsoft YaHei" w:cs="Microsoft YaHei"/>
          <w:sz w:val="24"/>
          <w:szCs w:val="24"/>
          <w:color w:val="0B0B0B"/>
          <w:spacing w:val="-4"/>
        </w:rPr>
        <w:t>助推完善市场经济基础制度， 依法从严惩治欺诈发</w:t>
      </w:r>
    </w:p>
    <w:p>
      <w:pPr>
        <w:ind w:left="661" w:right="558"/>
        <w:spacing w:before="256" w:line="352"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2"/>
        </w:rPr>
        <w:t>行、违规信息披露等财务造假犯罪， 最高人民检察院经济犯罪检察厅于近日印发《关于办理财务造假</w:t>
      </w:r>
      <w:r>
        <w:rPr>
          <w:rFonts w:ascii="Microsoft YaHei" w:hAnsi="Microsoft YaHei" w:eastAsia="Microsoft YaHei" w:cs="Microsoft YaHei"/>
          <w:sz w:val="24"/>
          <w:szCs w:val="24"/>
          <w:color w:val="0B0B0B"/>
          <w:spacing w:val="14"/>
        </w:rPr>
        <w:t xml:space="preserve"> </w:t>
      </w:r>
      <w:r>
        <w:rPr>
          <w:rFonts w:ascii="Microsoft YaHei" w:hAnsi="Microsoft YaHei" w:eastAsia="Microsoft YaHei" w:cs="Microsoft YaHei"/>
          <w:sz w:val="24"/>
          <w:szCs w:val="24"/>
          <w:color w:val="0B0B0B"/>
          <w:spacing w:val="-3"/>
        </w:rPr>
        <w:t>犯罪案件有关问题的解答》， 明确财务造假犯罪案件事实认定、</w:t>
      </w:r>
      <w:r>
        <w:rPr>
          <w:rFonts w:ascii="Microsoft YaHei" w:hAnsi="Microsoft YaHei" w:eastAsia="Microsoft YaHei" w:cs="Microsoft YaHei"/>
          <w:sz w:val="24"/>
          <w:szCs w:val="24"/>
          <w:color w:val="0B0B0B"/>
          <w:spacing w:val="-4"/>
        </w:rPr>
        <w:t>法律适用重点问题， 全文如下。</w:t>
      </w:r>
    </w:p>
    <w:p>
      <w:pPr>
        <w:ind w:left="661" w:right="555" w:firstLine="483"/>
        <w:spacing w:before="74" w:line="35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2"/>
        </w:rPr>
        <w:t>财务造假犯罪主要涉及欺诈发行证券与违规披露、不披露重要信息，</w:t>
      </w:r>
      <w:r>
        <w:rPr>
          <w:rFonts w:ascii="Microsoft YaHei" w:hAnsi="Microsoft YaHei" w:eastAsia="Microsoft YaHei" w:cs="Microsoft YaHei"/>
          <w:sz w:val="24"/>
          <w:szCs w:val="24"/>
          <w:color w:val="0B0B0B"/>
          <w:spacing w:val="-3"/>
        </w:rPr>
        <w:t xml:space="preserve"> 以及提供虚假证明文件、</w:t>
      </w:r>
      <w:r>
        <w:rPr>
          <w:rFonts w:ascii="Microsoft YaHei" w:hAnsi="Microsoft YaHei" w:eastAsia="Microsoft YaHei" w:cs="Microsoft YaHei"/>
          <w:sz w:val="24"/>
          <w:szCs w:val="24"/>
          <w:color w:val="0B0B0B"/>
          <w:spacing w:val="-49"/>
        </w:rPr>
        <w:t xml:space="preserve"> </w:t>
      </w:r>
      <w:r>
        <w:rPr>
          <w:rFonts w:ascii="Microsoft YaHei" w:hAnsi="Microsoft YaHei" w:eastAsia="Microsoft YaHei" w:cs="Microsoft YaHei"/>
          <w:sz w:val="24"/>
          <w:szCs w:val="24"/>
          <w:color w:val="0B0B0B"/>
          <w:spacing w:val="-3"/>
        </w:rPr>
        <w:t>出</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2"/>
        </w:rPr>
        <w:t>具证明文件重大失实等几种犯罪。现就实践中遇到的一些问</w:t>
      </w:r>
      <w:r>
        <w:rPr>
          <w:rFonts w:ascii="Microsoft YaHei" w:hAnsi="Microsoft YaHei" w:eastAsia="Microsoft YaHei" w:cs="Microsoft YaHei"/>
          <w:sz w:val="24"/>
          <w:szCs w:val="24"/>
          <w:color w:val="0B0B0B"/>
          <w:spacing w:val="-3"/>
        </w:rPr>
        <w:t>题， 解答如下。</w:t>
      </w:r>
    </w:p>
    <w:p>
      <w:pPr>
        <w:pStyle w:val="BodyText"/>
        <w:spacing w:line="258" w:lineRule="auto"/>
        <w:rPr/>
      </w:pPr>
      <w:r/>
    </w:p>
    <w:p>
      <w:pPr>
        <w:pStyle w:val="BodyText"/>
        <w:spacing w:line="259" w:lineRule="auto"/>
        <w:rPr/>
      </w:pPr>
      <w:r/>
    </w:p>
    <w:p>
      <w:pPr>
        <w:ind w:left="9560" w:right="383" w:hanging="1508"/>
        <w:spacing w:before="103" w:line="35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2"/>
        </w:rPr>
        <w:t>中华人民共和国最高人民检察院</w:t>
      </w:r>
      <w:r>
        <w:rPr>
          <w:rFonts w:ascii="Microsoft YaHei" w:hAnsi="Microsoft YaHei" w:eastAsia="Microsoft YaHei" w:cs="Microsoft YaHei"/>
          <w:sz w:val="24"/>
          <w:szCs w:val="24"/>
          <w:color w:val="0B0B0B"/>
          <w:spacing w:val="7"/>
        </w:rPr>
        <w:t xml:space="preserve"> </w:t>
      </w:r>
      <w:r>
        <w:rPr>
          <w:rFonts w:ascii="Microsoft YaHei" w:hAnsi="Microsoft YaHei" w:eastAsia="Microsoft YaHei" w:cs="Microsoft YaHei"/>
          <w:sz w:val="24"/>
          <w:szCs w:val="24"/>
          <w:color w:val="0B0B0B"/>
          <w:spacing w:val="-2"/>
        </w:rPr>
        <w:t>2024年08月16日</w:t>
      </w:r>
    </w:p>
    <w:p>
      <w:pPr>
        <w:pStyle w:val="BodyText"/>
        <w:spacing w:line="283" w:lineRule="auto"/>
        <w:rPr/>
      </w:pPr>
      <w:r/>
    </w:p>
    <w:p>
      <w:pPr>
        <w:pStyle w:val="BodyText"/>
        <w:spacing w:line="283" w:lineRule="auto"/>
        <w:rPr/>
      </w:pPr>
      <w:r/>
    </w:p>
    <w:p>
      <w:pPr>
        <w:pStyle w:val="BodyText"/>
        <w:spacing w:line="284" w:lineRule="auto"/>
        <w:rPr/>
      </w:pPr>
      <w:r/>
    </w:p>
    <w:p>
      <w:pPr>
        <w:pStyle w:val="BodyText"/>
        <w:spacing w:line="284" w:lineRule="auto"/>
        <w:rPr/>
      </w:pPr>
      <w:r/>
    </w:p>
    <w:p>
      <w:pPr>
        <w:ind w:firstLine="4514"/>
        <w:spacing w:line="3492" w:lineRule="exact"/>
        <w:rPr/>
      </w:pPr>
      <w:r>
        <w:rPr>
          <w:position w:val="-69"/>
        </w:rPr>
        <w:drawing>
          <wp:inline distT="0" distB="0" distL="0" distR="0">
            <wp:extent cx="2225039" cy="2217420"/>
            <wp:effectExtent l="0" t="0" r="0" b="0"/>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2225039" cy="2217420"/>
                    </a:xfrm>
                    <a:prstGeom prst="rect">
                      <a:avLst/>
                    </a:prstGeom>
                  </pic:spPr>
                </pic:pic>
              </a:graphicData>
            </a:graphic>
          </wp:inline>
        </w:drawing>
      </w:r>
    </w:p>
    <w:p>
      <w:pPr>
        <w:ind w:left="3990"/>
        <w:spacing w:before="31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0B0B0B"/>
          <w:spacing w:val="-1"/>
        </w:rPr>
        <w:t>关于办理财务造假犯罪案件有关问题的解答</w:t>
      </w:r>
    </w:p>
    <w:p>
      <w:pPr>
        <w:spacing w:line="183" w:lineRule="auto"/>
        <w:sectPr>
          <w:headerReference w:type="default" r:id="rId2"/>
          <w:pgSz w:w="11910" w:h="16840"/>
          <w:pgMar w:top="10" w:right="134" w:bottom="0" w:left="0" w:header="0" w:footer="0" w:gutter="0"/>
        </w:sectPr>
        <w:rPr>
          <w:rFonts w:ascii="Microsoft YaHei" w:hAnsi="Microsoft YaHei" w:eastAsia="Microsoft YaHei" w:cs="Microsoft YaHei"/>
          <w:sz w:val="24"/>
          <w:szCs w:val="24"/>
        </w:rPr>
      </w:pPr>
    </w:p>
    <w:p>
      <w:pPr>
        <w:spacing w:line="1137" w:lineRule="exact"/>
        <w:rPr/>
      </w:pPr>
      <w:r>
        <w:rPr>
          <w:position w:val="-22"/>
        </w:rPr>
        <w:pict>
          <v:group id="_x0000_s2" style="mso-position-vertical-relative:line;mso-position-horizontal-relative:char;width:67.85pt;height:56.9pt;" filled="false" stroked="false" coordsize="1356,1138" coordorigin="0,0">
            <v:shape id="_x0000_s4" style="position:absolute;left:0;top:0;width:1356;height:1138;" fillcolor="#A61C1F" filled="true" stroked="false" coordsize="1356,1138" coordorigin="0,0" path="m,l1356,0l1356,1137l0,1137l0,0xe"/>
            <v:shape id="_x0000_s6" style="position:absolute;left:237;top:113;width:819;height:911;" fillcolor="#FFFFFF" filled="true" stroked="false" coordsize="819,911" coordorigin="0,0" path="m594,776l223,776l213,770l213,730l223,725l594,725l604,730l604,770l594,776xm582,707l237,707l225,698l225,687l213,635l180,583l136,532l88,480l45,423l12,361l0,297l0,290l5,237l22,187l50,143l84,105l127,72l176,46l230,25l287,10l347,2l409,0l470,2l530,10l587,25l641,46l690,72l733,105l736,108l366,108l358,116l358,125l354,148l353,151l233,151l202,175l190,185l177,195l172,200l172,208l177,215l207,242l210,245l210,248l202,258l196,268l190,280l185,290l185,291l183,291l182,293l170,293l124,297l116,302l116,370l124,375l136,376l182,381l183,381l185,382l185,385l190,395l196,405l202,415l210,425l210,428l200,437l192,445l177,460l172,465l172,473l177,480l225,516l233,521l353,521l356,538l358,548l358,558l366,565l648,565l637,577l604,630l592,687l592,698l582,707xm526,182l523,181l497,171l483,167l469,165l467,165l467,162l466,160l466,148l462,136l462,125l459,116l452,108l736,108l768,143l773,151l587,151l574,153l567,157l530,181l528,181l526,182xm293,182l292,181l290,181l280,175l270,170l262,163l252,157l243,153l233,151l353,151l352,160l352,162l350,165l348,165l334,167l322,171l307,176l294,181l293,182xm686,521l587,521l648,473l646,465l640,460l626,445l617,437l608,428l608,427l610,425l617,415l622,405l627,395l632,385l632,382l634,381l638,381l683,376l693,375l703,370l703,302l693,297l683,296l648,293l638,293l634,291l632,291l632,290l627,280l622,268l617,258l610,248l608,247l608,245l610,242l640,215l646,208l648,200l640,195l628,185l617,175l592,157l587,151l773,151l796,187l813,237l818,290l818,297l806,361l773,421l730,475l686,521xm410,447l354,438l308,415l278,380l267,336l278,295l308,260l354,235l410,227l464,235l509,260l539,295l550,336l539,380l509,415l464,438l410,447xm353,521l243,521l252,515l262,510l270,505l280,500l290,493l292,491l294,491l307,497l322,502l334,505l348,508l352,511l352,515l353,521xm648,565l452,565l459,558l462,548l462,538l466,525l466,513l467,511l467,510l469,508l497,502l510,497l523,491l528,491l530,493l539,500l548,505l557,510l567,515l574,521l686,521l681,526l648,565xm560,911l257,911l247,905l247,865l257,858l560,858l570,865l570,905l560,911xm582,845l235,845l227,838l227,796l235,790l582,790l592,796l592,838l582,845e"/>
          </v:group>
        </w:pict>
      </w:r>
    </w:p>
    <w:p>
      <w:pPr>
        <w:pStyle w:val="BodyText"/>
        <w:spacing w:line="14" w:lineRule="auto"/>
        <w:rPr>
          <w:sz w:val="2"/>
        </w:rPr>
      </w:pPr>
      <w:r>
        <w:rPr>
          <w:sz w:val="2"/>
          <w:szCs w:val="2"/>
        </w:rPr>
        <w:br w:type="column"/>
      </w:r>
    </w:p>
    <w:p>
      <w:pPr>
        <w:spacing w:before="305" w:line="186"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7"/>
        </w:rPr>
        <w:t>监管动态</w:t>
      </w:r>
    </w:p>
    <w:p>
      <w:pPr>
        <w:spacing w:line="186" w:lineRule="auto"/>
        <w:sectPr>
          <w:pgSz w:w="11910" w:h="16840"/>
          <w:pgMar w:top="9" w:right="69" w:bottom="0" w:left="4" w:header="0" w:footer="0" w:gutter="0"/>
          <w:cols w:equalWidth="0" w:num="2">
            <w:col w:w="1499" w:space="100"/>
            <w:col w:w="10239" w:space="0"/>
          </w:cols>
        </w:sectPr>
        <w:rPr>
          <w:rFonts w:ascii="Microsoft YaHei" w:hAnsi="Microsoft YaHei" w:eastAsia="Microsoft YaHei" w:cs="Microsoft YaHei"/>
          <w:sz w:val="43"/>
          <w:szCs w:val="43"/>
        </w:rPr>
      </w:pPr>
    </w:p>
    <w:p>
      <w:pPr>
        <w:pStyle w:val="BodyText"/>
        <w:spacing w:line="424" w:lineRule="auto"/>
        <w:rPr/>
      </w:pPr>
      <w:r>
        <w:drawing>
          <wp:anchor distT="0" distB="0" distL="0" distR="0" simplePos="0" relativeHeight="251661312" behindDoc="0" locked="0" layoutInCell="1" allowOverlap="1">
            <wp:simplePos x="0" y="0"/>
            <wp:positionH relativeFrom="column">
              <wp:posOffset>840867</wp:posOffset>
            </wp:positionH>
            <wp:positionV relativeFrom="paragraph">
              <wp:posOffset>-34022</wp:posOffset>
            </wp:positionV>
            <wp:extent cx="6675119" cy="32244"/>
            <wp:effectExtent l="0" t="0" r="0" b="0"/>
            <wp:wrapNone/>
            <wp:docPr id="10" name="IM 10"/>
            <wp:cNvGraphicFramePr/>
            <a:graphic>
              <a:graphicData uri="http://schemas.openxmlformats.org/drawingml/2006/picture">
                <pic:pic>
                  <pic:nvPicPr>
                    <pic:cNvPr id="10" name="IM 10"/>
                    <pic:cNvPicPr/>
                  </pic:nvPicPr>
                  <pic:blipFill>
                    <a:blip r:embed="rId6"/>
                    <a:stretch>
                      <a:fillRect/>
                    </a:stretch>
                  </pic:blipFill>
                  <pic:spPr>
                    <a:xfrm rot="0">
                      <a:off x="0" y="0"/>
                      <a:ext cx="6675119" cy="32244"/>
                    </a:xfrm>
                    <a:prstGeom prst="rect">
                      <a:avLst/>
                    </a:prstGeom>
                  </pic:spPr>
                </pic:pic>
              </a:graphicData>
            </a:graphic>
          </wp:anchor>
        </w:drawing>
      </w:r>
      <w:r/>
    </w:p>
    <w:p>
      <w:pPr>
        <w:ind w:firstLine="16"/>
        <w:spacing w:line="924" w:lineRule="exact"/>
        <w:rPr/>
      </w:pPr>
      <w:r>
        <w:rPr>
          <w:position w:val="-18"/>
        </w:rPr>
        <w:pict>
          <v:group id="_x0000_s8" style="mso-position-vertical-relative:line;mso-position-horizontal-relative:char;width:134.3pt;height:46.25pt;" filled="false" stroked="false" coordsize="2686,925" coordorigin="0,0">
            <v:shape id="_x0000_s10" style="position:absolute;left:0;top:0;width:2686;height:925;" filled="false" stroked="false" type="#_x0000_t75">
              <v:imagedata o:title="" r:id="rId7"/>
            </v:shape>
            <v:shape id="_x0000_s12" style="position:absolute;left:-20;top:-20;width:2726;height:965;" filled="false" stroked="false" type="#_x0000_t202">
              <v:fill on="false"/>
              <v:stroke on="false"/>
              <v:path/>
              <v:imagedata o:title=""/>
              <o:lock v:ext="edit" aspectratio="false"/>
              <v:textbox inset="0mm,0mm,0mm,0mm">
                <w:txbxContent>
                  <w:p>
                    <w:pPr>
                      <w:ind w:left="483"/>
                      <w:spacing w:before="246"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2"/>
                      </w:rPr>
                      <w:t>市场监管概览</w:t>
                    </w:r>
                  </w:p>
                </w:txbxContent>
              </v:textbox>
            </v:shape>
          </v:group>
        </w:pict>
      </w:r>
    </w:p>
    <w:p>
      <w:pPr>
        <w:ind w:left="6503"/>
        <w:spacing w:before="214" w:line="183" w:lineRule="auto"/>
        <w:rPr>
          <w:rFonts w:ascii="Microsoft YaHei" w:hAnsi="Microsoft YaHei" w:eastAsia="Microsoft YaHei" w:cs="Microsoft YaHei"/>
          <w:sz w:val="24"/>
          <w:szCs w:val="24"/>
        </w:rPr>
      </w:pPr>
      <w:r>
        <w:drawing>
          <wp:anchor distT="0" distB="0" distL="0" distR="0" simplePos="0" relativeHeight="251659264" behindDoc="1" locked="0" layoutInCell="1" allowOverlap="1">
            <wp:simplePos x="0" y="0"/>
            <wp:positionH relativeFrom="column">
              <wp:posOffset>109347</wp:posOffset>
            </wp:positionH>
            <wp:positionV relativeFrom="paragraph">
              <wp:posOffset>182342</wp:posOffset>
            </wp:positionV>
            <wp:extent cx="3721734" cy="2638425"/>
            <wp:effectExtent l="0" t="0" r="0" b="0"/>
            <wp:wrapNone/>
            <wp:docPr id="12" name="IM 12"/>
            <wp:cNvGraphicFramePr/>
            <a:graphic>
              <a:graphicData uri="http://schemas.openxmlformats.org/drawingml/2006/picture">
                <pic:pic>
                  <pic:nvPicPr>
                    <pic:cNvPr id="12" name="IM 12"/>
                    <pic:cNvPicPr/>
                  </pic:nvPicPr>
                  <pic:blipFill>
                    <a:blip r:embed="rId8"/>
                    <a:stretch>
                      <a:fillRect/>
                    </a:stretch>
                  </pic:blipFill>
                  <pic:spPr>
                    <a:xfrm rot="0">
                      <a:off x="0" y="0"/>
                      <a:ext cx="3721734" cy="2638425"/>
                    </a:xfrm>
                    <a:prstGeom prst="rect">
                      <a:avLst/>
                    </a:prstGeom>
                  </pic:spPr>
                </pic:pic>
              </a:graphicData>
            </a:graphic>
          </wp:anchor>
        </w:drawing>
      </w:r>
      <w:r>
        <w:rPr>
          <w:rFonts w:ascii="Microsoft YaHei" w:hAnsi="Microsoft YaHei" w:eastAsia="Microsoft YaHei" w:cs="Microsoft YaHei"/>
          <w:sz w:val="24"/>
          <w:szCs w:val="24"/>
          <w:spacing w:val="5"/>
        </w:rPr>
        <w:t>2024年8月19日-8月25日， 证监会作出2份</w:t>
      </w:r>
    </w:p>
    <w:p>
      <w:pPr>
        <w:ind w:left="6014"/>
        <w:spacing w:before="302"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rPr>
        <w:t>监管文书； 证监局作出31份监管文书； 上交所作</w:t>
      </w:r>
    </w:p>
    <w:p>
      <w:pPr>
        <w:ind w:left="6031"/>
        <w:spacing w:before="3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5"/>
        </w:rPr>
        <w:t>出7份监管文书； 深交所作出15份监管文书。</w:t>
      </w:r>
    </w:p>
    <w:p>
      <w:pPr>
        <w:ind w:left="6503"/>
        <w:spacing w:before="305"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5"/>
        </w:rPr>
        <w:t>2024年8月19日-8月25日， 证监会对2个对</w:t>
      </w:r>
    </w:p>
    <w:p>
      <w:pPr>
        <w:ind w:left="6012"/>
        <w:spacing w:before="301" w:line="18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3"/>
        </w:rPr>
        <w:t>象立案调查； 证监局作出10份行政处罚决定书，</w:t>
      </w:r>
    </w:p>
    <w:p>
      <w:pPr>
        <w:ind w:left="6023"/>
        <w:spacing w:before="3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2"/>
        </w:rPr>
        <w:t>21份行政监管措施决定书。</w:t>
      </w:r>
    </w:p>
    <w:p>
      <w:pPr>
        <w:ind w:left="6189" w:right="501" w:firstLine="314"/>
        <w:spacing w:before="300" w:line="360" w:lineRule="auto"/>
        <w:jc w:val="both"/>
        <w:rPr>
          <w:rFonts w:ascii="Microsoft YaHei" w:hAnsi="Microsoft YaHei" w:eastAsia="Microsoft YaHei" w:cs="Microsoft YaHei"/>
          <w:sz w:val="24"/>
          <w:szCs w:val="24"/>
        </w:rPr>
      </w:pPr>
      <w:r>
        <w:drawing>
          <wp:anchor distT="0" distB="0" distL="0" distR="0" simplePos="0" relativeHeight="251660288" behindDoc="0" locked="0" layoutInCell="1" allowOverlap="1">
            <wp:simplePos x="0" y="0"/>
            <wp:positionH relativeFrom="column">
              <wp:posOffset>91884</wp:posOffset>
            </wp:positionH>
            <wp:positionV relativeFrom="paragraph">
              <wp:posOffset>593587</wp:posOffset>
            </wp:positionV>
            <wp:extent cx="3752850" cy="2727325"/>
            <wp:effectExtent l="0" t="0" r="0" b="0"/>
            <wp:wrapNone/>
            <wp:docPr id="14" name="IM 14"/>
            <wp:cNvGraphicFramePr/>
            <a:graphic>
              <a:graphicData uri="http://schemas.openxmlformats.org/drawingml/2006/picture">
                <pic:pic>
                  <pic:nvPicPr>
                    <pic:cNvPr id="14" name="IM 14"/>
                    <pic:cNvPicPr/>
                  </pic:nvPicPr>
                  <pic:blipFill>
                    <a:blip r:embed="rId9"/>
                    <a:stretch>
                      <a:fillRect/>
                    </a:stretch>
                  </pic:blipFill>
                  <pic:spPr>
                    <a:xfrm rot="0">
                      <a:off x="0" y="0"/>
                      <a:ext cx="3752850" cy="2727325"/>
                    </a:xfrm>
                    <a:prstGeom prst="rect">
                      <a:avLst/>
                    </a:prstGeom>
                  </pic:spPr>
                </pic:pic>
              </a:graphicData>
            </a:graphic>
          </wp:anchor>
        </w:drawing>
      </w:r>
      <w:r>
        <w:rPr>
          <w:rFonts w:ascii="Microsoft YaHei" w:hAnsi="Microsoft YaHei" w:eastAsia="Microsoft YaHei" w:cs="Microsoft YaHei"/>
          <w:sz w:val="24"/>
          <w:szCs w:val="24"/>
          <w:spacing w:val="5"/>
        </w:rPr>
        <w:t>2024年8月19日-8月25日， 上交所公司监管</w:t>
      </w:r>
      <w:r>
        <w:rPr>
          <w:rFonts w:ascii="Microsoft YaHei" w:hAnsi="Microsoft YaHei" w:eastAsia="Microsoft YaHei" w:cs="Microsoft YaHei"/>
          <w:sz w:val="24"/>
          <w:szCs w:val="24"/>
          <w:spacing w:val="3"/>
        </w:rPr>
        <w:t xml:space="preserve"> </w:t>
      </w:r>
      <w:r>
        <w:rPr>
          <w:rFonts w:ascii="Microsoft YaHei" w:hAnsi="Microsoft YaHei" w:eastAsia="Microsoft YaHei" w:cs="Microsoft YaHei"/>
          <w:sz w:val="24"/>
          <w:szCs w:val="24"/>
          <w:spacing w:val="-1"/>
        </w:rPr>
        <w:t>部门作出5份监管警示函， 对2宗行为予以纪律处</w:t>
      </w:r>
      <w:r>
        <w:rPr>
          <w:rFonts w:ascii="Microsoft YaHei" w:hAnsi="Microsoft YaHei" w:eastAsia="Microsoft YaHei" w:cs="Microsoft YaHei"/>
          <w:sz w:val="24"/>
          <w:szCs w:val="24"/>
          <w:spacing w:val="15"/>
        </w:rPr>
        <w:t xml:space="preserve"> </w:t>
      </w:r>
      <w:r>
        <w:rPr>
          <w:rFonts w:ascii="Microsoft YaHei" w:hAnsi="Microsoft YaHei" w:eastAsia="Microsoft YaHei" w:cs="Microsoft YaHei"/>
          <w:sz w:val="24"/>
          <w:szCs w:val="24"/>
          <w:spacing w:val="9"/>
        </w:rPr>
        <w:t>分</w:t>
      </w:r>
      <w:r>
        <w:rPr>
          <w:rFonts w:ascii="Microsoft YaHei" w:hAnsi="Microsoft YaHei" w:eastAsia="Microsoft YaHei" w:cs="Microsoft YaHei"/>
          <w:sz w:val="24"/>
          <w:szCs w:val="24"/>
          <w:spacing w:val="-23"/>
        </w:rPr>
        <w:t xml:space="preserve"> </w:t>
      </w:r>
      <w:r>
        <w:rPr>
          <w:rFonts w:ascii="Microsoft YaHei" w:hAnsi="Microsoft YaHei" w:eastAsia="Microsoft YaHei" w:cs="Microsoft YaHei"/>
          <w:sz w:val="24"/>
          <w:szCs w:val="24"/>
          <w:spacing w:val="9"/>
        </w:rPr>
        <w:t>。</w:t>
      </w:r>
      <w:r>
        <w:rPr>
          <w:rFonts w:ascii="Microsoft YaHei" w:hAnsi="Microsoft YaHei" w:eastAsia="Microsoft YaHei" w:cs="Microsoft YaHei"/>
          <w:sz w:val="24"/>
          <w:szCs w:val="24"/>
          <w:spacing w:val="-35"/>
        </w:rPr>
        <w:t xml:space="preserve"> </w:t>
      </w:r>
      <w:r>
        <w:rPr>
          <w:rFonts w:ascii="Microsoft YaHei" w:hAnsi="Microsoft YaHei" w:eastAsia="Microsoft YaHei" w:cs="Microsoft YaHei"/>
          <w:sz w:val="24"/>
          <w:szCs w:val="24"/>
          <w:spacing w:val="9"/>
        </w:rPr>
        <w:t>同时， 加大信息披露和股价异常的联动监</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1"/>
        </w:rPr>
        <w:t>管， 针对公司披露敏感信息或股价发生明显异常</w:t>
      </w:r>
      <w:r>
        <w:rPr>
          <w:rFonts w:ascii="Microsoft YaHei" w:hAnsi="Microsoft YaHei" w:eastAsia="Microsoft YaHei" w:cs="Microsoft YaHei"/>
          <w:sz w:val="24"/>
          <w:szCs w:val="24"/>
          <w:spacing w:val="11"/>
        </w:rPr>
        <w:t xml:space="preserve"> </w:t>
      </w:r>
      <w:r>
        <w:rPr>
          <w:rFonts w:ascii="Microsoft YaHei" w:hAnsi="Microsoft YaHei" w:eastAsia="Microsoft YaHei" w:cs="Microsoft YaHei"/>
          <w:sz w:val="24"/>
          <w:szCs w:val="24"/>
          <w:spacing w:val="-4"/>
        </w:rPr>
        <w:t>的， 提请启动内幕交易、异常交易核查3单。</w:t>
      </w:r>
    </w:p>
    <w:p>
      <w:pPr>
        <w:ind w:left="6192" w:right="592" w:firstLine="488"/>
        <w:spacing w:before="3" w:line="24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2"/>
        </w:rPr>
        <w:t>2024年8月19日-8月25日， 深交所发出7份</w:t>
      </w:r>
      <w:r>
        <w:rPr>
          <w:rFonts w:ascii="Microsoft YaHei" w:hAnsi="Microsoft YaHei" w:eastAsia="Microsoft YaHei" w:cs="Microsoft YaHei"/>
          <w:sz w:val="24"/>
          <w:szCs w:val="24"/>
          <w:spacing w:val="8"/>
        </w:rPr>
        <w:t xml:space="preserve"> </w:t>
      </w:r>
      <w:r>
        <w:rPr>
          <w:rFonts w:ascii="Microsoft YaHei" w:hAnsi="Microsoft YaHei" w:eastAsia="Microsoft YaHei" w:cs="Microsoft YaHei"/>
          <w:sz w:val="24"/>
          <w:szCs w:val="24"/>
          <w:spacing w:val="-6"/>
        </w:rPr>
        <w:t>监管函， 8份纪律处分措施。</w:t>
      </w:r>
    </w:p>
    <w:p>
      <w:pPr>
        <w:spacing w:line="249" w:lineRule="auto"/>
        <w:sectPr>
          <w:type w:val="continuous"/>
          <w:pgSz w:w="11910" w:h="16840"/>
          <w:pgMar w:top="9" w:right="69" w:bottom="0" w:left="4" w:header="0" w:footer="0" w:gutter="0"/>
          <w:cols w:equalWidth="0" w:num="1">
            <w:col w:w="11837" w:space="0"/>
          </w:cols>
        </w:sectPr>
        <w:rPr>
          <w:rFonts w:ascii="Microsoft YaHei" w:hAnsi="Microsoft YaHei" w:eastAsia="Microsoft YaHei" w:cs="Microsoft YaHei"/>
          <w:sz w:val="24"/>
          <w:szCs w:val="24"/>
        </w:rPr>
      </w:pPr>
    </w:p>
    <w:p>
      <w:pPr>
        <w:ind w:firstLine="14"/>
        <w:spacing w:line="1137" w:lineRule="exact"/>
        <w:rPr/>
      </w:pPr>
      <w:r>
        <w:rPr>
          <w:position w:val="-22"/>
        </w:rPr>
        <w:pict>
          <v:group id="_x0000_s14" style="mso-position-vertical-relative:line;mso-position-horizontal-relative:char;width:67.85pt;height:56.9pt;" filled="false" stroked="false" coordsize="1356,1138" coordorigin="0,0">
            <v:shape id="_x0000_s16" style="position:absolute;left:0;top:0;width:1356;height:1138;" fillcolor="#A61C1F" filled="true" stroked="false" coordsize="1356,1138" coordorigin="0,0" path="m,l1356,0l1356,1137l0,1137l0,0xe"/>
            <v:shape id="_x0000_s18" style="position:absolute;left:237;top:112;width:819;height:913;" fillcolor="#FFFFFF" filled="true" stroked="false" coordsize="819,913" coordorigin="0,0" path="m594,777l223,777l213,771l213,731l223,725l594,725l604,731l604,771l594,777xm582,708l237,708l225,699l225,688l213,635l180,584l136,533l88,480l45,424l12,362l0,298l0,291l5,238l22,188l50,144l84,106l127,73l176,47l230,26l287,11l347,3l409,0l470,3l530,11l587,26l641,47l690,73l733,106l736,109l366,109l358,117l358,125l354,149l353,152l233,152l202,176l190,186l177,195l172,200l172,209l177,215l207,243l210,245l210,249l202,259l196,269l190,280l185,291l185,292l183,292l182,294l170,294l124,298l116,303l116,371l124,375l136,377l182,382l183,382l185,383l185,385l190,395l196,406l202,416l210,426l210,429l200,438l192,445l177,460l172,466l172,474l177,480l225,517l233,522l353,522l356,539l358,549l358,559l366,565l648,565l637,578l604,630l592,688l592,699l582,708xm526,183l523,182l497,172l483,168l469,165l467,165l467,163l466,160l466,149l462,137l462,125l459,117l452,109l736,109l768,144l773,152l587,152l574,154l567,158l530,182l528,182l526,183xm293,183l292,182l290,182l280,176l270,170l262,164l252,158l243,154l233,152l353,152l352,160l352,163l350,165l348,165l334,168l322,172l307,177l294,182l293,183xm686,522l587,522l648,474l646,466l640,460l626,445l617,438l608,429l608,428l610,426l617,416l622,406l627,395l632,385l632,383l634,382l638,382l683,377l693,375l703,371l703,303l693,298l683,297l648,294l638,294l634,292l632,292l632,291l627,280l622,269l617,259l610,249l608,248l608,245l610,243l640,215l646,209l648,200l640,195l628,186l617,176l592,158l587,152l773,152l796,188l813,238l818,291l818,298l806,362l773,422l730,476l686,522xm410,448l354,439l308,415l278,380l267,337l278,295l308,260l354,236l410,228l464,236l509,260l539,295l550,337l539,380l509,415l464,439l410,448xm353,522l243,522l252,515l262,511l270,505l280,500l290,494l292,492l294,492l307,498l322,503l334,506l348,509l352,512l352,515l353,522xm648,565l452,565l459,559l462,549l462,539l466,526l466,514l467,512l467,511l469,509l497,503l510,498l523,492l528,492l530,494l539,500l548,505l557,511l567,515l574,522l686,522l681,527l648,565xm560,912l257,912l247,906l247,865l257,859l560,859l570,865l570,906l560,912xm582,845l235,845l227,839l227,797l235,791l582,791l592,797l592,839l582,845e"/>
          </v:group>
        </w:pict>
      </w:r>
    </w:p>
    <w:p>
      <w:pPr>
        <w:pStyle w:val="BodyText"/>
        <w:spacing w:line="14" w:lineRule="auto"/>
        <w:rPr>
          <w:sz w:val="2"/>
        </w:rPr>
      </w:pPr>
      <w:r>
        <w:rPr>
          <w:sz w:val="2"/>
          <w:szCs w:val="2"/>
        </w:rPr>
        <w:br w:type="column"/>
      </w:r>
    </w:p>
    <w:p>
      <w:pPr>
        <w:spacing w:before="302" w:line="186"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7"/>
        </w:rPr>
        <w:t>监管动态</w:t>
      </w:r>
    </w:p>
    <w:p>
      <w:pPr>
        <w:spacing w:line="186" w:lineRule="auto"/>
        <w:sectPr>
          <w:pgSz w:w="11910" w:h="16840"/>
          <w:pgMar w:top="9" w:right="59" w:bottom="0" w:left="0" w:header="0" w:footer="0" w:gutter="0"/>
          <w:cols w:equalWidth="0" w:num="2">
            <w:col w:w="1568" w:space="100"/>
            <w:col w:w="10184" w:space="0"/>
          </w:cols>
        </w:sectPr>
        <w:rPr>
          <w:rFonts w:ascii="Microsoft YaHei" w:hAnsi="Microsoft YaHei" w:eastAsia="Microsoft YaHei" w:cs="Microsoft YaHei"/>
          <w:sz w:val="43"/>
          <w:szCs w:val="43"/>
        </w:rPr>
      </w:pPr>
    </w:p>
    <w:p>
      <w:pPr>
        <w:pStyle w:val="BodyText"/>
        <w:spacing w:line="417" w:lineRule="auto"/>
        <w:rPr/>
      </w:pPr>
      <w:r>
        <w:drawing>
          <wp:anchor distT="0" distB="0" distL="0" distR="0" simplePos="0" relativeHeight="251662336" behindDoc="0" locked="0" layoutInCell="1" allowOverlap="1">
            <wp:simplePos x="0" y="0"/>
            <wp:positionH relativeFrom="column">
              <wp:posOffset>850265</wp:posOffset>
            </wp:positionH>
            <wp:positionV relativeFrom="paragraph">
              <wp:posOffset>-34658</wp:posOffset>
            </wp:positionV>
            <wp:extent cx="6675119" cy="32245"/>
            <wp:effectExtent l="0" t="0" r="0" b="0"/>
            <wp:wrapNone/>
            <wp:docPr id="16" name="IM 16"/>
            <wp:cNvGraphicFramePr/>
            <a:graphic>
              <a:graphicData uri="http://schemas.openxmlformats.org/drawingml/2006/picture">
                <pic:pic>
                  <pic:nvPicPr>
                    <pic:cNvPr id="16" name="IM 16"/>
                    <pic:cNvPicPr/>
                  </pic:nvPicPr>
                  <pic:blipFill>
                    <a:blip r:embed="rId10"/>
                    <a:stretch>
                      <a:fillRect/>
                    </a:stretch>
                  </pic:blipFill>
                  <pic:spPr>
                    <a:xfrm rot="0">
                      <a:off x="0" y="0"/>
                      <a:ext cx="6675119" cy="32245"/>
                    </a:xfrm>
                    <a:prstGeom prst="rect">
                      <a:avLst/>
                    </a:prstGeom>
                  </pic:spPr>
                </pic:pic>
              </a:graphicData>
            </a:graphic>
          </wp:anchor>
        </w:drawing>
      </w:r>
      <w:r/>
    </w:p>
    <w:p>
      <w:pPr>
        <w:spacing w:line="924" w:lineRule="exact"/>
        <w:rPr/>
      </w:pPr>
      <w:r>
        <w:rPr>
          <w:position w:val="-18"/>
        </w:rPr>
        <w:pict>
          <v:group id="_x0000_s20" style="mso-position-vertical-relative:line;mso-position-horizontal-relative:char;width:188.3pt;height:46.25pt;" filled="false" stroked="false" coordsize="3766,925" coordorigin="0,0">
            <v:shape id="_x0000_s22" style="position:absolute;left:0;top:0;width:3766;height:925;" filled="false" stroked="false" type="#_x0000_t75">
              <v:imagedata o:title="" r:id="rId11"/>
            </v:shape>
            <v:shape id="_x0000_s24" style="position:absolute;left:-20;top:-20;width:3806;height:965;" filled="false" stroked="false" type="#_x0000_t202">
              <v:fill on="false"/>
              <v:stroke on="false"/>
              <v:path/>
              <v:imagedata o:title=""/>
              <o:lock v:ext="edit" aspectratio="false"/>
              <v:textbox inset="0mm,0mm,0mm,0mm">
                <w:txbxContent>
                  <w:p>
                    <w:pPr>
                      <w:ind w:left="387"/>
                      <w:spacing w:before="299" w:line="183"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1"/>
                      </w:rPr>
                      <w:t>证监会证监局监管动态</w:t>
                    </w:r>
                  </w:p>
                </w:txbxContent>
              </v:textbox>
            </v:shape>
          </v:group>
        </w:pict>
      </w:r>
    </w:p>
    <w:p>
      <w:pPr>
        <w:pStyle w:val="BodyText"/>
        <w:spacing w:line="392" w:lineRule="auto"/>
        <w:rPr/>
      </w:pPr>
      <w:r/>
    </w:p>
    <w:p>
      <w:pPr>
        <w:ind w:left="443" w:right="582" w:firstLine="490"/>
        <w:spacing w:before="102" w:line="36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rPr>
        <w:t>2024年8月19日-8月25日， 证监会对2个对象立案调查； 证监局作出</w:t>
      </w:r>
      <w:r>
        <w:rPr>
          <w:rFonts w:ascii="Microsoft YaHei" w:hAnsi="Microsoft YaHei" w:eastAsia="Microsoft YaHei" w:cs="Microsoft YaHei"/>
          <w:sz w:val="24"/>
          <w:szCs w:val="24"/>
          <w:spacing w:val="-1"/>
        </w:rPr>
        <w:t>10份行政处罚决定书， 21份</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1"/>
        </w:rPr>
        <w:t>行政监管措施决定书。</w:t>
      </w:r>
    </w:p>
    <w:p>
      <w:pPr>
        <w:ind w:left="757"/>
        <w:spacing w:before="28"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0"/>
        </w:rPr>
        <w:t>（1） 行政处罚决定书</w:t>
      </w:r>
    </w:p>
    <w:p>
      <w:pPr>
        <w:spacing w:line="185" w:lineRule="exact"/>
        <w:rPr/>
      </w:pPr>
      <w:r/>
    </w:p>
    <w:tbl>
      <w:tblPr>
        <w:tblStyle w:val="TableNormal"/>
        <w:tblW w:w="9384" w:type="dxa"/>
        <w:tblInd w:w="1162"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474"/>
        <w:gridCol w:w="1343"/>
        <w:gridCol w:w="6567"/>
      </w:tblGrid>
      <w:tr>
        <w:trPr>
          <w:trHeight w:val="387" w:hRule="atLeast"/>
        </w:trPr>
        <w:tc>
          <w:tcPr>
            <w:shd w:val="clear" w:fill="4F81BD"/>
            <w:tcW w:w="1474" w:type="dxa"/>
            <w:vAlign w:val="top"/>
            <w:tcBorders>
              <w:bottom w:val="single" w:color="FFFFFF" w:sz="2" w:space="0"/>
            </w:tcBorders>
          </w:tcPr>
          <w:p>
            <w:pPr>
              <w:pStyle w:val="TableText"/>
              <w:ind w:left="312"/>
              <w:spacing w:before="109" w:line="187" w:lineRule="auto"/>
              <w:rPr/>
            </w:pPr>
            <w:r>
              <w:rPr>
                <w:b/>
                <w:bCs/>
                <w:color w:val="FFFFFF"/>
                <w:spacing w:val="8"/>
              </w:rPr>
              <w:t>公司代码</w:t>
            </w:r>
          </w:p>
        </w:tc>
        <w:tc>
          <w:tcPr>
            <w:shd w:val="clear" w:fill="4F81BD"/>
            <w:tcW w:w="1343" w:type="dxa"/>
            <w:vAlign w:val="top"/>
            <w:tcBorders>
              <w:bottom w:val="single" w:color="FFFFFF" w:sz="2" w:space="0"/>
            </w:tcBorders>
          </w:tcPr>
          <w:p>
            <w:pPr>
              <w:pStyle w:val="TableText"/>
              <w:ind w:left="244"/>
              <w:spacing w:before="109" w:line="187" w:lineRule="auto"/>
              <w:rPr/>
            </w:pPr>
            <w:r>
              <w:rPr>
                <w:b/>
                <w:bCs/>
                <w:color w:val="FFFFFF"/>
                <w:spacing w:val="8"/>
              </w:rPr>
              <w:t>公司简称</w:t>
            </w:r>
          </w:p>
        </w:tc>
        <w:tc>
          <w:tcPr>
            <w:shd w:val="clear" w:fill="4F81BD"/>
            <w:tcW w:w="6567" w:type="dxa"/>
            <w:vAlign w:val="top"/>
            <w:tcBorders>
              <w:bottom w:val="single" w:color="FFFFFF" w:sz="2" w:space="0"/>
            </w:tcBorders>
          </w:tcPr>
          <w:p>
            <w:pPr>
              <w:pStyle w:val="TableText"/>
              <w:ind w:left="2855"/>
              <w:spacing w:before="109" w:line="187" w:lineRule="auto"/>
              <w:rPr/>
            </w:pPr>
            <w:r>
              <w:rPr>
                <w:b/>
                <w:bCs/>
                <w:color w:val="FFFFFF"/>
                <w:spacing w:val="8"/>
              </w:rPr>
              <w:t>违规行为</w:t>
            </w:r>
          </w:p>
        </w:tc>
      </w:tr>
      <w:tr>
        <w:trPr>
          <w:trHeight w:val="369" w:hRule="atLeast"/>
        </w:trPr>
        <w:tc>
          <w:tcPr>
            <w:shd w:val="clear" w:fill="B8CCE4"/>
            <w:tcW w:w="1474" w:type="dxa"/>
            <w:vAlign w:val="top"/>
            <w:tcBorders>
              <w:top w:val="single" w:color="FFFFFF" w:sz="2" w:space="0"/>
            </w:tcBorders>
          </w:tcPr>
          <w:p>
            <w:pPr>
              <w:pStyle w:val="TableText"/>
              <w:ind w:left="370"/>
              <w:spacing w:before="101" w:line="178" w:lineRule="auto"/>
              <w:rPr/>
            </w:pPr>
            <w:r>
              <w:rPr>
                <w:spacing w:val="3"/>
              </w:rPr>
              <w:t>603703</w:t>
            </w:r>
          </w:p>
        </w:tc>
        <w:tc>
          <w:tcPr>
            <w:shd w:val="clear" w:fill="B8CCE4"/>
            <w:tcW w:w="1343" w:type="dxa"/>
            <w:vAlign w:val="top"/>
            <w:tcBorders>
              <w:top w:val="single" w:color="FFFFFF" w:sz="2" w:space="0"/>
            </w:tcBorders>
          </w:tcPr>
          <w:p>
            <w:pPr>
              <w:pStyle w:val="TableText"/>
              <w:ind w:left="244"/>
              <w:spacing w:before="87" w:line="189" w:lineRule="auto"/>
              <w:rPr/>
            </w:pPr>
            <w:r>
              <w:rPr>
                <w:spacing w:val="8"/>
              </w:rPr>
              <w:t>盛洋科技</w:t>
            </w:r>
          </w:p>
        </w:tc>
        <w:tc>
          <w:tcPr>
            <w:shd w:val="clear" w:fill="B8CCE4"/>
            <w:tcW w:w="6567" w:type="dxa"/>
            <w:vAlign w:val="top"/>
            <w:tcBorders>
              <w:top w:val="single" w:color="FFFFFF" w:sz="2" w:space="0"/>
            </w:tcBorders>
          </w:tcPr>
          <w:p>
            <w:pPr>
              <w:pStyle w:val="TableText"/>
              <w:ind w:left="113"/>
              <w:spacing w:before="87" w:line="189" w:lineRule="auto"/>
              <w:rPr/>
            </w:pPr>
            <w:r>
              <w:rPr>
                <w:b/>
                <w:bCs/>
                <w:spacing w:val="6"/>
              </w:rPr>
              <w:t>内幕交易</w:t>
            </w:r>
            <w:r>
              <w:rPr>
                <w:spacing w:val="6"/>
              </w:rPr>
              <w:t>公司股票。</w:t>
            </w:r>
          </w:p>
        </w:tc>
      </w:tr>
      <w:tr>
        <w:trPr>
          <w:trHeight w:val="725" w:hRule="atLeast"/>
        </w:trPr>
        <w:tc>
          <w:tcPr>
            <w:tcW w:w="9384" w:type="dxa"/>
            <w:vAlign w:val="top"/>
            <w:gridSpan w:val="3"/>
          </w:tcPr>
          <w:p>
            <w:pPr>
              <w:pStyle w:val="TableText"/>
              <w:ind w:left="104" w:right="104" w:firstLine="16"/>
              <w:spacing w:before="37" w:line="237" w:lineRule="auto"/>
              <w:rPr/>
            </w:pPr>
            <w:r>
              <w:rPr>
                <w:b/>
                <w:bCs/>
                <w:spacing w:val="7"/>
              </w:rPr>
              <w:t>【行政处罚决定】</w:t>
            </w:r>
            <w:r>
              <w:rPr>
                <w:b/>
                <w:bCs/>
                <w:spacing w:val="-35"/>
              </w:rPr>
              <w:t xml:space="preserve"> </w:t>
            </w:r>
            <w:r>
              <w:rPr>
                <w:spacing w:val="7"/>
              </w:rPr>
              <w:t>浙江证监局决定： 对袁某杰没收违法所得4,793,833.82元， 并处以9,587,667.64</w:t>
            </w:r>
            <w:r>
              <w:rPr/>
              <w:t xml:space="preserve"> </w:t>
            </w:r>
            <w:r>
              <w:rPr>
                <w:spacing w:val="6"/>
              </w:rPr>
              <w:t>元罚款。</w:t>
            </w:r>
          </w:p>
        </w:tc>
      </w:tr>
      <w:tr>
        <w:trPr>
          <w:trHeight w:val="724" w:hRule="atLeast"/>
        </w:trPr>
        <w:tc>
          <w:tcPr>
            <w:shd w:val="clear" w:fill="B8CCE4"/>
            <w:tcW w:w="1474" w:type="dxa"/>
            <w:vAlign w:val="top"/>
          </w:tcPr>
          <w:p>
            <w:pPr>
              <w:pStyle w:val="TableText"/>
              <w:ind w:left="370"/>
              <w:spacing w:before="276" w:line="178" w:lineRule="auto"/>
              <w:rPr/>
            </w:pPr>
            <w:r>
              <w:rPr>
                <w:spacing w:val="3"/>
              </w:rPr>
              <w:t>603703</w:t>
            </w:r>
          </w:p>
        </w:tc>
        <w:tc>
          <w:tcPr>
            <w:shd w:val="clear" w:fill="B8CCE4"/>
            <w:tcW w:w="1343" w:type="dxa"/>
            <w:vAlign w:val="top"/>
          </w:tcPr>
          <w:p>
            <w:pPr>
              <w:pStyle w:val="TableText"/>
              <w:ind w:left="244"/>
              <w:spacing w:before="261" w:line="189" w:lineRule="auto"/>
              <w:rPr/>
            </w:pPr>
            <w:r>
              <w:rPr>
                <w:spacing w:val="8"/>
              </w:rPr>
              <w:t>盛洋科技</w:t>
            </w:r>
          </w:p>
        </w:tc>
        <w:tc>
          <w:tcPr>
            <w:shd w:val="clear" w:fill="B8CCE4"/>
            <w:tcW w:w="6567" w:type="dxa"/>
            <w:vAlign w:val="top"/>
          </w:tcPr>
          <w:p>
            <w:pPr>
              <w:pStyle w:val="TableText"/>
              <w:ind w:left="103" w:right="154" w:firstLine="15"/>
              <w:spacing w:before="82" w:line="221" w:lineRule="auto"/>
              <w:rPr/>
            </w:pPr>
            <w:r>
              <w:rPr>
                <w:spacing w:val="9"/>
              </w:rPr>
              <w:t>内幕信息知情人叶某洋在</w:t>
            </w:r>
            <w:r>
              <w:rPr>
                <w:b/>
                <w:bCs/>
                <w:spacing w:val="9"/>
              </w:rPr>
              <w:t>内幕信息敏感期内建议</w:t>
            </w:r>
            <w:r>
              <w:rPr>
                <w:spacing w:val="9"/>
              </w:rPr>
              <w:t>单某、曹某、袁某杰</w:t>
            </w:r>
            <w:r>
              <w:rPr>
                <w:spacing w:val="8"/>
              </w:rPr>
              <w:t xml:space="preserve"> </w:t>
            </w:r>
            <w:r>
              <w:rPr>
                <w:spacing w:val="8"/>
              </w:rPr>
              <w:t>买入“盛洋科技”股票。</w:t>
            </w:r>
          </w:p>
        </w:tc>
      </w:tr>
      <w:tr>
        <w:trPr>
          <w:trHeight w:val="725" w:hRule="atLeast"/>
        </w:trPr>
        <w:tc>
          <w:tcPr>
            <w:tcW w:w="9384" w:type="dxa"/>
            <w:vAlign w:val="top"/>
            <w:gridSpan w:val="3"/>
          </w:tcPr>
          <w:p>
            <w:pPr>
              <w:pStyle w:val="TableText"/>
              <w:ind w:left="132" w:right="104" w:hanging="11"/>
              <w:spacing w:before="42" w:line="235" w:lineRule="auto"/>
              <w:rPr/>
            </w:pPr>
            <w:r>
              <w:rPr>
                <w:b/>
                <w:bCs/>
                <w:spacing w:val="15"/>
              </w:rPr>
              <w:t>【行政处罚决定】</w:t>
            </w:r>
            <w:r>
              <w:rPr>
                <w:b/>
                <w:bCs/>
                <w:spacing w:val="-22"/>
              </w:rPr>
              <w:t xml:space="preserve"> </w:t>
            </w:r>
            <w:r>
              <w:rPr>
                <w:spacing w:val="15"/>
              </w:rPr>
              <w:t>浙江证监局决定： 对时任董事、总经理叶某洋在内幕信息公开前建议他人买卖</w:t>
            </w:r>
            <w:r>
              <w:rPr/>
              <w:t xml:space="preserve"> </w:t>
            </w:r>
            <w:r>
              <w:rPr>
                <w:spacing w:val="4"/>
              </w:rPr>
              <w:t>“盛洋科技”股票的行为， 处以250万元罚款。</w:t>
            </w:r>
          </w:p>
        </w:tc>
      </w:tr>
      <w:tr>
        <w:trPr>
          <w:trHeight w:val="364" w:hRule="atLeast"/>
        </w:trPr>
        <w:tc>
          <w:tcPr>
            <w:shd w:val="clear" w:fill="B8CCE4"/>
            <w:tcW w:w="1474" w:type="dxa"/>
            <w:vAlign w:val="top"/>
          </w:tcPr>
          <w:p>
            <w:pPr>
              <w:pStyle w:val="TableText"/>
              <w:ind w:left="370"/>
              <w:spacing w:before="99" w:line="178" w:lineRule="auto"/>
              <w:rPr/>
            </w:pPr>
            <w:r>
              <w:rPr>
                <w:spacing w:val="3"/>
              </w:rPr>
              <w:t>603703</w:t>
            </w:r>
          </w:p>
        </w:tc>
        <w:tc>
          <w:tcPr>
            <w:shd w:val="clear" w:fill="B8CCE4"/>
            <w:tcW w:w="1343" w:type="dxa"/>
            <w:vAlign w:val="top"/>
          </w:tcPr>
          <w:p>
            <w:pPr>
              <w:pStyle w:val="TableText"/>
              <w:ind w:left="244"/>
              <w:spacing w:before="85" w:line="188" w:lineRule="auto"/>
              <w:rPr/>
            </w:pPr>
            <w:r>
              <w:rPr>
                <w:spacing w:val="8"/>
              </w:rPr>
              <w:t>盛洋科技</w:t>
            </w:r>
          </w:p>
        </w:tc>
        <w:tc>
          <w:tcPr>
            <w:shd w:val="clear" w:fill="B8CCE4"/>
            <w:tcW w:w="6567" w:type="dxa"/>
            <w:vAlign w:val="top"/>
          </w:tcPr>
          <w:p>
            <w:pPr>
              <w:pStyle w:val="TableText"/>
              <w:ind w:left="113"/>
              <w:spacing w:before="85" w:line="188" w:lineRule="auto"/>
              <w:rPr/>
            </w:pPr>
            <w:r>
              <w:rPr>
                <w:b/>
                <w:bCs/>
                <w:spacing w:val="6"/>
              </w:rPr>
              <w:t>内幕交易</w:t>
            </w:r>
            <w:r>
              <w:rPr>
                <w:spacing w:val="6"/>
              </w:rPr>
              <w:t>公司股票。</w:t>
            </w:r>
          </w:p>
        </w:tc>
      </w:tr>
      <w:tr>
        <w:trPr>
          <w:trHeight w:val="724" w:hRule="atLeast"/>
        </w:trPr>
        <w:tc>
          <w:tcPr>
            <w:tcW w:w="9384" w:type="dxa"/>
            <w:vAlign w:val="top"/>
            <w:gridSpan w:val="3"/>
          </w:tcPr>
          <w:p>
            <w:pPr>
              <w:pStyle w:val="TableText"/>
              <w:ind w:left="104" w:right="104" w:firstLine="17"/>
              <w:spacing w:before="41" w:line="235" w:lineRule="auto"/>
              <w:rPr/>
            </w:pPr>
            <w:r>
              <w:rPr>
                <w:b/>
                <w:bCs/>
                <w:spacing w:val="7"/>
              </w:rPr>
              <w:t>【行政处罚决定】</w:t>
            </w:r>
            <w:r>
              <w:rPr>
                <w:b/>
                <w:bCs/>
                <w:spacing w:val="-39"/>
              </w:rPr>
              <w:t xml:space="preserve"> </w:t>
            </w:r>
            <w:r>
              <w:rPr>
                <w:spacing w:val="7"/>
              </w:rPr>
              <w:t>浙江证监局决定： 对单某没收违法所得793,66</w:t>
            </w:r>
            <w:r>
              <w:rPr>
                <w:spacing w:val="6"/>
              </w:rPr>
              <w:t>3.40元， 并处以1,587,326.80元罚</w:t>
            </w:r>
            <w:r>
              <w:rPr/>
              <w:t xml:space="preserve"> </w:t>
            </w:r>
            <w:r>
              <w:rPr>
                <w:spacing w:val="3"/>
              </w:rPr>
              <w:t>款。</w:t>
            </w:r>
          </w:p>
        </w:tc>
      </w:tr>
      <w:tr>
        <w:trPr>
          <w:trHeight w:val="365" w:hRule="atLeast"/>
        </w:trPr>
        <w:tc>
          <w:tcPr>
            <w:shd w:val="clear" w:fill="B8CCE4"/>
            <w:tcW w:w="1474" w:type="dxa"/>
            <w:vAlign w:val="top"/>
          </w:tcPr>
          <w:p>
            <w:pPr>
              <w:pStyle w:val="TableText"/>
              <w:ind w:left="370"/>
              <w:spacing w:before="101" w:line="177" w:lineRule="auto"/>
              <w:rPr/>
            </w:pPr>
            <w:r>
              <w:rPr>
                <w:spacing w:val="3"/>
              </w:rPr>
              <w:t>603703</w:t>
            </w:r>
          </w:p>
        </w:tc>
        <w:tc>
          <w:tcPr>
            <w:shd w:val="clear" w:fill="B8CCE4"/>
            <w:tcW w:w="1343" w:type="dxa"/>
            <w:vAlign w:val="top"/>
          </w:tcPr>
          <w:p>
            <w:pPr>
              <w:pStyle w:val="TableText"/>
              <w:ind w:left="244"/>
              <w:spacing w:before="87" w:line="187" w:lineRule="auto"/>
              <w:rPr/>
            </w:pPr>
            <w:r>
              <w:rPr>
                <w:spacing w:val="8"/>
              </w:rPr>
              <w:t>盛洋科技</w:t>
            </w:r>
          </w:p>
        </w:tc>
        <w:tc>
          <w:tcPr>
            <w:shd w:val="clear" w:fill="B8CCE4"/>
            <w:tcW w:w="6567" w:type="dxa"/>
            <w:vAlign w:val="top"/>
          </w:tcPr>
          <w:p>
            <w:pPr>
              <w:pStyle w:val="TableText"/>
              <w:ind w:left="113"/>
              <w:spacing w:before="87" w:line="187" w:lineRule="auto"/>
              <w:rPr/>
            </w:pPr>
            <w:r>
              <w:rPr>
                <w:b/>
                <w:bCs/>
                <w:spacing w:val="6"/>
              </w:rPr>
              <w:t>内幕交易</w:t>
            </w:r>
            <w:r>
              <w:rPr>
                <w:spacing w:val="6"/>
              </w:rPr>
              <w:t>公司股票。</w:t>
            </w:r>
          </w:p>
        </w:tc>
      </w:tr>
      <w:tr>
        <w:trPr>
          <w:trHeight w:val="364" w:hRule="atLeast"/>
        </w:trPr>
        <w:tc>
          <w:tcPr>
            <w:tcW w:w="9384" w:type="dxa"/>
            <w:vAlign w:val="top"/>
            <w:gridSpan w:val="3"/>
          </w:tcPr>
          <w:p>
            <w:pPr>
              <w:pStyle w:val="TableText"/>
              <w:ind w:left="121"/>
              <w:spacing w:before="43" w:line="217" w:lineRule="auto"/>
              <w:rPr/>
            </w:pPr>
            <w:r>
              <w:rPr>
                <w:b/>
                <w:bCs/>
                <w:spacing w:val="6"/>
              </w:rPr>
              <w:t>【行政处罚决定】</w:t>
            </w:r>
            <w:r>
              <w:rPr>
                <w:spacing w:val="6"/>
              </w:rPr>
              <w:t>浙江证监局决定： 对曹某没收</w:t>
            </w:r>
            <w:r>
              <w:rPr>
                <w:spacing w:val="5"/>
              </w:rPr>
              <w:t>违法所得446,153.21元， 并处以80万元的罚款。</w:t>
            </w:r>
          </w:p>
        </w:tc>
      </w:tr>
      <w:tr>
        <w:trPr>
          <w:trHeight w:val="364" w:hRule="atLeast"/>
        </w:trPr>
        <w:tc>
          <w:tcPr>
            <w:shd w:val="clear" w:fill="B8CCE4"/>
            <w:tcW w:w="1474" w:type="dxa"/>
            <w:vAlign w:val="top"/>
          </w:tcPr>
          <w:p>
            <w:pPr>
              <w:pStyle w:val="TableText"/>
              <w:ind w:left="370"/>
              <w:spacing w:before="103" w:line="175" w:lineRule="auto"/>
              <w:rPr/>
            </w:pPr>
            <w:r>
              <w:rPr>
                <w:spacing w:val="3"/>
              </w:rPr>
              <w:t>603703</w:t>
            </w:r>
          </w:p>
        </w:tc>
        <w:tc>
          <w:tcPr>
            <w:shd w:val="clear" w:fill="B8CCE4"/>
            <w:tcW w:w="1343" w:type="dxa"/>
            <w:vAlign w:val="top"/>
          </w:tcPr>
          <w:p>
            <w:pPr>
              <w:pStyle w:val="TableText"/>
              <w:ind w:left="244"/>
              <w:spacing w:before="89" w:line="185" w:lineRule="auto"/>
              <w:rPr/>
            </w:pPr>
            <w:r>
              <w:rPr>
                <w:spacing w:val="8"/>
              </w:rPr>
              <w:t>盛洋科技</w:t>
            </w:r>
          </w:p>
        </w:tc>
        <w:tc>
          <w:tcPr>
            <w:shd w:val="clear" w:fill="B8CCE4"/>
            <w:tcW w:w="6567" w:type="dxa"/>
            <w:vAlign w:val="top"/>
          </w:tcPr>
          <w:p>
            <w:pPr>
              <w:pStyle w:val="TableText"/>
              <w:ind w:left="113"/>
              <w:spacing w:before="89" w:line="185" w:lineRule="auto"/>
              <w:rPr/>
            </w:pPr>
            <w:r>
              <w:rPr>
                <w:b/>
                <w:bCs/>
                <w:spacing w:val="6"/>
              </w:rPr>
              <w:t>内幕交易</w:t>
            </w:r>
            <w:r>
              <w:rPr>
                <w:spacing w:val="6"/>
              </w:rPr>
              <w:t>公司股票。</w:t>
            </w:r>
          </w:p>
        </w:tc>
      </w:tr>
      <w:tr>
        <w:trPr>
          <w:trHeight w:val="724" w:hRule="atLeast"/>
        </w:trPr>
        <w:tc>
          <w:tcPr>
            <w:tcW w:w="9384" w:type="dxa"/>
            <w:vAlign w:val="top"/>
            <w:gridSpan w:val="3"/>
          </w:tcPr>
          <w:p>
            <w:pPr>
              <w:pStyle w:val="TableText"/>
              <w:ind w:left="107" w:right="104" w:firstLine="13"/>
              <w:spacing w:before="44" w:line="234" w:lineRule="auto"/>
              <w:rPr/>
            </w:pPr>
            <w:r>
              <w:rPr>
                <w:b/>
                <w:bCs/>
                <w:spacing w:val="7"/>
              </w:rPr>
              <w:t>【行政处罚决定】</w:t>
            </w:r>
            <w:r>
              <w:rPr>
                <w:b/>
                <w:bCs/>
                <w:spacing w:val="-35"/>
              </w:rPr>
              <w:t xml:space="preserve"> </w:t>
            </w:r>
            <w:r>
              <w:rPr>
                <w:spacing w:val="7"/>
              </w:rPr>
              <w:t>浙江证监局决定： 对徐某没收违法所得1,138,258.97元， 并处以2,276,517.94元</w:t>
            </w:r>
            <w:r>
              <w:rPr/>
              <w:t xml:space="preserve"> </w:t>
            </w:r>
            <w:r>
              <w:rPr>
                <w:spacing w:val="3"/>
              </w:rPr>
              <w:t>罚款。</w:t>
            </w:r>
          </w:p>
        </w:tc>
      </w:tr>
      <w:tr>
        <w:trPr>
          <w:trHeight w:val="365" w:hRule="atLeast"/>
        </w:trPr>
        <w:tc>
          <w:tcPr>
            <w:shd w:val="clear" w:fill="B8CCE4"/>
            <w:tcW w:w="1474" w:type="dxa"/>
            <w:vAlign w:val="top"/>
          </w:tcPr>
          <w:p>
            <w:pPr>
              <w:pStyle w:val="TableText"/>
              <w:ind w:left="370"/>
              <w:spacing w:before="106" w:line="174" w:lineRule="auto"/>
              <w:rPr/>
            </w:pPr>
            <w:r>
              <w:rPr>
                <w:spacing w:val="3"/>
              </w:rPr>
              <w:t>600499</w:t>
            </w:r>
          </w:p>
        </w:tc>
        <w:tc>
          <w:tcPr>
            <w:shd w:val="clear" w:fill="B8CCE4"/>
            <w:tcW w:w="1343" w:type="dxa"/>
            <w:vAlign w:val="top"/>
          </w:tcPr>
          <w:p>
            <w:pPr>
              <w:pStyle w:val="TableText"/>
              <w:ind w:left="242"/>
              <w:spacing w:before="93" w:line="183" w:lineRule="auto"/>
              <w:rPr/>
            </w:pPr>
            <w:r>
              <w:rPr>
                <w:spacing w:val="8"/>
              </w:rPr>
              <w:t>科达制造</w:t>
            </w:r>
          </w:p>
        </w:tc>
        <w:tc>
          <w:tcPr>
            <w:shd w:val="clear" w:fill="B8CCE4"/>
            <w:tcW w:w="6567" w:type="dxa"/>
            <w:vAlign w:val="top"/>
          </w:tcPr>
          <w:p>
            <w:pPr>
              <w:pStyle w:val="TableText"/>
              <w:ind w:left="113"/>
              <w:spacing w:before="91" w:line="184" w:lineRule="auto"/>
              <w:rPr/>
            </w:pPr>
            <w:r>
              <w:rPr>
                <w:b/>
                <w:bCs/>
                <w:spacing w:val="6"/>
              </w:rPr>
              <w:t>内幕交易</w:t>
            </w:r>
            <w:r>
              <w:rPr>
                <w:spacing w:val="6"/>
              </w:rPr>
              <w:t>公司股票。</w:t>
            </w:r>
          </w:p>
        </w:tc>
      </w:tr>
      <w:tr>
        <w:trPr>
          <w:trHeight w:val="724" w:hRule="atLeast"/>
        </w:trPr>
        <w:tc>
          <w:tcPr>
            <w:tcW w:w="9384" w:type="dxa"/>
            <w:vAlign w:val="top"/>
            <w:gridSpan w:val="3"/>
          </w:tcPr>
          <w:p>
            <w:pPr>
              <w:pStyle w:val="TableText"/>
              <w:ind w:left="105" w:right="149" w:firstLine="15"/>
              <w:spacing w:before="47" w:line="233" w:lineRule="auto"/>
              <w:rPr/>
            </w:pPr>
            <w:r>
              <w:rPr>
                <w:b/>
                <w:bCs/>
                <w:spacing w:val="8"/>
              </w:rPr>
              <w:t>【行政处罚决定】</w:t>
            </w:r>
            <w:r>
              <w:rPr>
                <w:b/>
                <w:bCs/>
                <w:spacing w:val="-26"/>
              </w:rPr>
              <w:t xml:space="preserve"> </w:t>
            </w:r>
            <w:r>
              <w:rPr>
                <w:spacing w:val="8"/>
              </w:rPr>
              <w:t>中国证券监督管理委员会广东监管局决定</w:t>
            </w:r>
            <w:r>
              <w:rPr>
                <w:spacing w:val="7"/>
              </w:rPr>
              <w:t>： 没收陈某疆违法所得630,369.38元，</w:t>
            </w:r>
            <w:r>
              <w:rPr/>
              <w:t xml:space="preserve"> </w:t>
            </w:r>
            <w:r>
              <w:rPr>
                <w:spacing w:val="6"/>
              </w:rPr>
              <w:t>并处以1,891,108.14元罚款。</w:t>
            </w:r>
          </w:p>
        </w:tc>
      </w:tr>
      <w:tr>
        <w:trPr>
          <w:trHeight w:val="365" w:hRule="atLeast"/>
        </w:trPr>
        <w:tc>
          <w:tcPr>
            <w:shd w:val="clear" w:fill="B8CCE4"/>
            <w:tcW w:w="1474" w:type="dxa"/>
            <w:vAlign w:val="top"/>
          </w:tcPr>
          <w:p>
            <w:pPr>
              <w:pStyle w:val="TableText"/>
              <w:ind w:left="370"/>
              <w:spacing w:before="107" w:line="173" w:lineRule="auto"/>
              <w:rPr/>
            </w:pPr>
            <w:r>
              <w:rPr>
                <w:spacing w:val="3"/>
              </w:rPr>
              <w:t>600499</w:t>
            </w:r>
          </w:p>
        </w:tc>
        <w:tc>
          <w:tcPr>
            <w:shd w:val="clear" w:fill="B8CCE4"/>
            <w:tcW w:w="1343" w:type="dxa"/>
            <w:vAlign w:val="top"/>
          </w:tcPr>
          <w:p>
            <w:pPr>
              <w:pStyle w:val="TableText"/>
              <w:ind w:left="242"/>
              <w:spacing w:before="94" w:line="182" w:lineRule="auto"/>
              <w:rPr/>
            </w:pPr>
            <w:r>
              <w:rPr>
                <w:spacing w:val="8"/>
              </w:rPr>
              <w:t>科达制造</w:t>
            </w:r>
          </w:p>
        </w:tc>
        <w:tc>
          <w:tcPr>
            <w:shd w:val="clear" w:fill="B8CCE4"/>
            <w:tcW w:w="6567" w:type="dxa"/>
            <w:vAlign w:val="top"/>
          </w:tcPr>
          <w:p>
            <w:pPr>
              <w:pStyle w:val="TableText"/>
              <w:ind w:left="113"/>
              <w:spacing w:before="94" w:line="182" w:lineRule="auto"/>
              <w:rPr/>
            </w:pPr>
            <w:r>
              <w:rPr>
                <w:b/>
                <w:bCs/>
                <w:spacing w:val="6"/>
              </w:rPr>
              <w:t>内幕交易</w:t>
            </w:r>
            <w:r>
              <w:rPr>
                <w:spacing w:val="6"/>
              </w:rPr>
              <w:t>公司股票。</w:t>
            </w:r>
          </w:p>
        </w:tc>
      </w:tr>
      <w:tr>
        <w:trPr>
          <w:trHeight w:val="725" w:hRule="atLeast"/>
        </w:trPr>
        <w:tc>
          <w:tcPr>
            <w:tcW w:w="9384" w:type="dxa"/>
            <w:vAlign w:val="top"/>
            <w:gridSpan w:val="3"/>
          </w:tcPr>
          <w:p>
            <w:pPr>
              <w:pStyle w:val="TableText"/>
              <w:ind w:left="105" w:right="149" w:firstLine="15"/>
              <w:spacing w:before="48" w:line="233" w:lineRule="auto"/>
              <w:rPr/>
            </w:pPr>
            <w:r>
              <w:rPr>
                <w:b/>
                <w:bCs/>
                <w:spacing w:val="8"/>
              </w:rPr>
              <w:t>【行政处罚决定】</w:t>
            </w:r>
            <w:r>
              <w:rPr>
                <w:b/>
                <w:bCs/>
                <w:spacing w:val="-26"/>
              </w:rPr>
              <w:t xml:space="preserve"> </w:t>
            </w:r>
            <w:r>
              <w:rPr>
                <w:spacing w:val="8"/>
              </w:rPr>
              <w:t>中国证券监督管理委员会广东监管局决定</w:t>
            </w:r>
            <w:r>
              <w:rPr>
                <w:spacing w:val="7"/>
              </w:rPr>
              <w:t>： 没收章某鸿违法所得399,726.50元，</w:t>
            </w:r>
            <w:r>
              <w:rPr/>
              <w:t xml:space="preserve"> </w:t>
            </w:r>
            <w:r>
              <w:rPr>
                <w:spacing w:val="7"/>
              </w:rPr>
              <w:t>并处以120万元罚款。</w:t>
            </w:r>
          </w:p>
        </w:tc>
      </w:tr>
      <w:tr>
        <w:trPr>
          <w:trHeight w:val="365" w:hRule="atLeast"/>
        </w:trPr>
        <w:tc>
          <w:tcPr>
            <w:shd w:val="clear" w:fill="B8CCE4"/>
            <w:tcW w:w="1474" w:type="dxa"/>
            <w:vAlign w:val="top"/>
          </w:tcPr>
          <w:p>
            <w:pPr>
              <w:pStyle w:val="TableText"/>
              <w:ind w:left="370"/>
              <w:spacing w:before="106" w:line="174" w:lineRule="auto"/>
              <w:rPr/>
            </w:pPr>
            <w:r>
              <w:rPr>
                <w:spacing w:val="3"/>
              </w:rPr>
              <w:t>600499</w:t>
            </w:r>
          </w:p>
        </w:tc>
        <w:tc>
          <w:tcPr>
            <w:shd w:val="clear" w:fill="B8CCE4"/>
            <w:tcW w:w="1343" w:type="dxa"/>
            <w:vAlign w:val="top"/>
          </w:tcPr>
          <w:p>
            <w:pPr>
              <w:pStyle w:val="TableText"/>
              <w:ind w:left="242"/>
              <w:spacing w:before="93" w:line="183" w:lineRule="auto"/>
              <w:rPr/>
            </w:pPr>
            <w:r>
              <w:rPr>
                <w:spacing w:val="8"/>
              </w:rPr>
              <w:t>科达制造</w:t>
            </w:r>
          </w:p>
        </w:tc>
        <w:tc>
          <w:tcPr>
            <w:shd w:val="clear" w:fill="B8CCE4"/>
            <w:tcW w:w="6567" w:type="dxa"/>
            <w:vAlign w:val="top"/>
          </w:tcPr>
          <w:p>
            <w:pPr>
              <w:pStyle w:val="TableText"/>
              <w:ind w:left="113"/>
              <w:spacing w:before="91" w:line="184" w:lineRule="auto"/>
              <w:rPr/>
            </w:pPr>
            <w:r>
              <w:rPr>
                <w:b/>
                <w:bCs/>
                <w:spacing w:val="6"/>
              </w:rPr>
              <w:t>内幕交易</w:t>
            </w:r>
            <w:r>
              <w:rPr>
                <w:spacing w:val="6"/>
              </w:rPr>
              <w:t>公司股票。</w:t>
            </w:r>
          </w:p>
        </w:tc>
      </w:tr>
      <w:tr>
        <w:trPr>
          <w:trHeight w:val="724" w:hRule="atLeast"/>
        </w:trPr>
        <w:tc>
          <w:tcPr>
            <w:tcW w:w="9384" w:type="dxa"/>
            <w:vAlign w:val="top"/>
            <w:gridSpan w:val="3"/>
          </w:tcPr>
          <w:p>
            <w:pPr>
              <w:pStyle w:val="TableText"/>
              <w:ind w:left="105" w:right="104" w:firstLine="16"/>
              <w:spacing w:before="50" w:line="232" w:lineRule="auto"/>
              <w:rPr/>
            </w:pPr>
            <w:r>
              <w:rPr>
                <w:b/>
                <w:bCs/>
                <w:spacing w:val="10"/>
              </w:rPr>
              <w:t>【行政处罚决定】</w:t>
            </w:r>
            <w:r>
              <w:rPr>
                <w:b/>
                <w:bCs/>
                <w:spacing w:val="-17"/>
              </w:rPr>
              <w:t xml:space="preserve"> </w:t>
            </w:r>
            <w:r>
              <w:rPr>
                <w:spacing w:val="10"/>
              </w:rPr>
              <w:t>中国证券监督管理委员会广东监管局决定： 责令徐某设依法处理非法持有的科达</w:t>
            </w:r>
            <w:r>
              <w:rPr/>
              <w:t xml:space="preserve"> </w:t>
            </w:r>
            <w:r>
              <w:rPr>
                <w:spacing w:val="4"/>
              </w:rPr>
              <w:t>制造股票， 并处以120万元罚款。</w:t>
            </w:r>
          </w:p>
        </w:tc>
      </w:tr>
      <w:tr>
        <w:trPr>
          <w:trHeight w:val="365" w:hRule="atLeast"/>
        </w:trPr>
        <w:tc>
          <w:tcPr>
            <w:shd w:val="clear" w:fill="B8CCE4"/>
            <w:tcW w:w="1474" w:type="dxa"/>
            <w:vAlign w:val="top"/>
          </w:tcPr>
          <w:p>
            <w:pPr>
              <w:pStyle w:val="TableText"/>
              <w:ind w:left="370"/>
              <w:spacing w:before="110" w:line="171" w:lineRule="auto"/>
              <w:rPr/>
            </w:pPr>
            <w:r>
              <w:rPr>
                <w:spacing w:val="3"/>
              </w:rPr>
              <w:t>600499</w:t>
            </w:r>
          </w:p>
        </w:tc>
        <w:tc>
          <w:tcPr>
            <w:shd w:val="clear" w:fill="B8CCE4"/>
            <w:tcW w:w="1343" w:type="dxa"/>
            <w:vAlign w:val="top"/>
          </w:tcPr>
          <w:p>
            <w:pPr>
              <w:pStyle w:val="TableText"/>
              <w:ind w:left="242"/>
              <w:spacing w:before="97" w:line="180" w:lineRule="auto"/>
              <w:rPr/>
            </w:pPr>
            <w:r>
              <w:rPr>
                <w:spacing w:val="8"/>
              </w:rPr>
              <w:t>科达制造</w:t>
            </w:r>
          </w:p>
        </w:tc>
        <w:tc>
          <w:tcPr>
            <w:shd w:val="clear" w:fill="B8CCE4"/>
            <w:tcW w:w="6567" w:type="dxa"/>
            <w:vAlign w:val="top"/>
          </w:tcPr>
          <w:p>
            <w:pPr>
              <w:pStyle w:val="TableText"/>
              <w:ind w:left="113"/>
              <w:spacing w:before="96" w:line="181" w:lineRule="auto"/>
              <w:rPr/>
            </w:pPr>
            <w:r>
              <w:rPr>
                <w:b/>
                <w:bCs/>
                <w:spacing w:val="6"/>
              </w:rPr>
              <w:t>内幕交易</w:t>
            </w:r>
            <w:r>
              <w:rPr>
                <w:spacing w:val="6"/>
              </w:rPr>
              <w:t>公司股票。</w:t>
            </w:r>
          </w:p>
        </w:tc>
      </w:tr>
      <w:tr>
        <w:trPr>
          <w:trHeight w:val="724" w:hRule="atLeast"/>
        </w:trPr>
        <w:tc>
          <w:tcPr>
            <w:tcW w:w="9384" w:type="dxa"/>
            <w:vAlign w:val="top"/>
            <w:gridSpan w:val="3"/>
          </w:tcPr>
          <w:p>
            <w:pPr>
              <w:pStyle w:val="TableText"/>
              <w:ind w:left="105" w:right="104" w:firstLine="16"/>
              <w:spacing w:before="50" w:line="232" w:lineRule="auto"/>
              <w:rPr/>
            </w:pPr>
            <w:r>
              <w:rPr>
                <w:b/>
                <w:bCs/>
                <w:spacing w:val="10"/>
              </w:rPr>
              <w:t>【行政处罚决定】</w:t>
            </w:r>
            <w:r>
              <w:rPr>
                <w:b/>
                <w:bCs/>
                <w:spacing w:val="-17"/>
              </w:rPr>
              <w:t xml:space="preserve"> </w:t>
            </w:r>
            <w:r>
              <w:rPr>
                <w:spacing w:val="10"/>
              </w:rPr>
              <w:t>中国证券监督管理委员会广东监管局决定： 责令潘某瑜依法处理非法持有的科达</w:t>
            </w:r>
            <w:r>
              <w:rPr/>
              <w:t xml:space="preserve"> </w:t>
            </w:r>
            <w:r>
              <w:rPr>
                <w:spacing w:val="4"/>
              </w:rPr>
              <w:t>制造股票， 并处以60万元罚款。</w:t>
            </w:r>
          </w:p>
        </w:tc>
      </w:tr>
      <w:tr>
        <w:trPr>
          <w:trHeight w:val="365" w:hRule="atLeast"/>
        </w:trPr>
        <w:tc>
          <w:tcPr>
            <w:shd w:val="clear" w:fill="B8CCE4"/>
            <w:tcW w:w="1474" w:type="dxa"/>
            <w:vAlign w:val="top"/>
          </w:tcPr>
          <w:p>
            <w:pPr>
              <w:pStyle w:val="TableText"/>
              <w:ind w:left="370"/>
              <w:spacing w:before="111" w:line="170" w:lineRule="auto"/>
              <w:rPr/>
            </w:pPr>
            <w:r>
              <w:rPr>
                <w:spacing w:val="3"/>
              </w:rPr>
              <w:t>600499</w:t>
            </w:r>
          </w:p>
        </w:tc>
        <w:tc>
          <w:tcPr>
            <w:shd w:val="clear" w:fill="B8CCE4"/>
            <w:tcW w:w="1343" w:type="dxa"/>
            <w:vAlign w:val="top"/>
          </w:tcPr>
          <w:p>
            <w:pPr>
              <w:pStyle w:val="TableText"/>
              <w:ind w:left="242"/>
              <w:spacing w:before="99" w:line="179" w:lineRule="auto"/>
              <w:rPr/>
            </w:pPr>
            <w:r>
              <w:rPr>
                <w:spacing w:val="8"/>
              </w:rPr>
              <w:t>科达制造</w:t>
            </w:r>
          </w:p>
        </w:tc>
        <w:tc>
          <w:tcPr>
            <w:shd w:val="clear" w:fill="B8CCE4"/>
            <w:tcW w:w="6567" w:type="dxa"/>
            <w:vAlign w:val="top"/>
          </w:tcPr>
          <w:p>
            <w:pPr>
              <w:pStyle w:val="TableText"/>
              <w:ind w:left="113"/>
              <w:spacing w:before="97" w:line="180" w:lineRule="auto"/>
              <w:rPr/>
            </w:pPr>
            <w:r>
              <w:rPr>
                <w:b/>
                <w:bCs/>
                <w:spacing w:val="6"/>
              </w:rPr>
              <w:t>内幕交易</w:t>
            </w:r>
            <w:r>
              <w:rPr>
                <w:spacing w:val="6"/>
              </w:rPr>
              <w:t>公司股票； 在内幕信息公开前泄露内幕信息。</w:t>
            </w:r>
          </w:p>
        </w:tc>
      </w:tr>
      <w:tr>
        <w:trPr>
          <w:trHeight w:val="735" w:hRule="atLeast"/>
        </w:trPr>
        <w:tc>
          <w:tcPr>
            <w:tcW w:w="9384" w:type="dxa"/>
            <w:vAlign w:val="top"/>
            <w:gridSpan w:val="3"/>
          </w:tcPr>
          <w:p>
            <w:pPr>
              <w:pStyle w:val="TableText"/>
              <w:ind w:left="105" w:right="104" w:firstLine="16"/>
              <w:spacing w:before="52" w:line="235" w:lineRule="auto"/>
              <w:rPr/>
            </w:pPr>
            <w:r>
              <w:rPr>
                <w:b/>
                <w:bCs/>
                <w:spacing w:val="10"/>
              </w:rPr>
              <w:t>【行政处罚决定】</w:t>
            </w:r>
            <w:r>
              <w:rPr>
                <w:b/>
                <w:bCs/>
                <w:spacing w:val="-17"/>
              </w:rPr>
              <w:t xml:space="preserve"> </w:t>
            </w:r>
            <w:r>
              <w:rPr>
                <w:spacing w:val="10"/>
              </w:rPr>
              <w:t>中国证券监督管理委员会广东监管局决定： 责令黎某清依法处理非法持有的科达</w:t>
            </w:r>
            <w:r>
              <w:rPr/>
              <w:t xml:space="preserve"> </w:t>
            </w:r>
            <w:r>
              <w:rPr>
                <w:spacing w:val="4"/>
              </w:rPr>
              <w:t>制造股票， 合计处以300万元罚款。</w:t>
            </w:r>
          </w:p>
        </w:tc>
      </w:tr>
    </w:tbl>
    <w:p>
      <w:pPr>
        <w:pStyle w:val="BodyText"/>
        <w:spacing w:line="14" w:lineRule="auto"/>
        <w:rPr>
          <w:sz w:val="2"/>
        </w:rPr>
      </w:pPr>
      <w:r/>
    </w:p>
    <w:p>
      <w:pPr>
        <w:spacing w:line="14" w:lineRule="auto"/>
        <w:sectPr>
          <w:type w:val="continuous"/>
          <w:pgSz w:w="11910" w:h="16840"/>
          <w:pgMar w:top="9" w:right="59" w:bottom="0" w:left="0" w:header="0" w:footer="0" w:gutter="0"/>
          <w:cols w:equalWidth="0" w:num="1">
            <w:col w:w="11851" w:space="0"/>
          </w:cols>
        </w:sectPr>
        <w:rPr>
          <w:sz w:val="2"/>
          <w:szCs w:val="2"/>
        </w:rPr>
      </w:pPr>
    </w:p>
    <w:p>
      <w:pPr>
        <w:pStyle w:val="BodyText"/>
        <w:spacing w:line="393" w:lineRule="auto"/>
        <w:rPr/>
      </w:pPr>
      <w:r/>
    </w:p>
    <w:p>
      <w:pPr>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1"/>
        </w:rPr>
        <w:t>（2） 行政监管措施</w:t>
      </w:r>
    </w:p>
    <w:p>
      <w:pPr>
        <w:spacing w:line="173" w:lineRule="exact"/>
        <w:rPr/>
      </w:pPr>
      <w:r/>
    </w:p>
    <w:tbl>
      <w:tblPr>
        <w:tblStyle w:val="TableNormal"/>
        <w:tblW w:w="9306" w:type="dxa"/>
        <w:tblInd w:w="444"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823"/>
        <w:gridCol w:w="1343"/>
        <w:gridCol w:w="6140"/>
      </w:tblGrid>
      <w:tr>
        <w:trPr>
          <w:trHeight w:val="388" w:hRule="atLeast"/>
        </w:trPr>
        <w:tc>
          <w:tcPr>
            <w:shd w:val="clear" w:fill="4F81BD"/>
            <w:tcW w:w="1823" w:type="dxa"/>
            <w:vAlign w:val="top"/>
            <w:tcBorders>
              <w:bottom w:val="single" w:color="FFFFFF" w:sz="2" w:space="0"/>
            </w:tcBorders>
          </w:tcPr>
          <w:p>
            <w:pPr>
              <w:pStyle w:val="TableText"/>
              <w:ind w:left="486"/>
              <w:spacing w:before="109" w:line="188" w:lineRule="auto"/>
              <w:rPr/>
            </w:pPr>
            <w:r>
              <w:rPr>
                <w:b/>
                <w:bCs/>
                <w:color w:val="FFFFFF"/>
                <w:spacing w:val="8"/>
              </w:rPr>
              <w:t>公司代码</w:t>
            </w:r>
          </w:p>
        </w:tc>
        <w:tc>
          <w:tcPr>
            <w:shd w:val="clear" w:fill="4F81BD"/>
            <w:tcW w:w="1343" w:type="dxa"/>
            <w:vAlign w:val="top"/>
            <w:tcBorders>
              <w:bottom w:val="single" w:color="FFFFFF" w:sz="2" w:space="0"/>
            </w:tcBorders>
          </w:tcPr>
          <w:p>
            <w:pPr>
              <w:pStyle w:val="TableText"/>
              <w:ind w:left="245"/>
              <w:spacing w:before="109" w:line="188" w:lineRule="auto"/>
              <w:rPr/>
            </w:pPr>
            <w:r>
              <w:rPr>
                <w:b/>
                <w:bCs/>
                <w:color w:val="FFFFFF"/>
                <w:spacing w:val="8"/>
              </w:rPr>
              <w:t>公司简称</w:t>
            </w:r>
          </w:p>
        </w:tc>
        <w:tc>
          <w:tcPr>
            <w:shd w:val="clear" w:fill="4F81BD"/>
            <w:tcW w:w="6140" w:type="dxa"/>
            <w:vAlign w:val="top"/>
            <w:tcBorders>
              <w:bottom w:val="single" w:color="FFFFFF" w:sz="2" w:space="0"/>
            </w:tcBorders>
          </w:tcPr>
          <w:p>
            <w:pPr>
              <w:pStyle w:val="TableText"/>
              <w:ind w:left="2643"/>
              <w:spacing w:before="109" w:line="188" w:lineRule="auto"/>
              <w:rPr/>
            </w:pPr>
            <w:r>
              <w:rPr>
                <w:b/>
                <w:bCs/>
                <w:color w:val="FFFFFF"/>
                <w:spacing w:val="8"/>
              </w:rPr>
              <w:t>违规行为</w:t>
            </w:r>
          </w:p>
        </w:tc>
      </w:tr>
      <w:tr>
        <w:trPr>
          <w:trHeight w:val="370" w:hRule="atLeast"/>
        </w:trPr>
        <w:tc>
          <w:tcPr>
            <w:shd w:val="clear" w:fill="B8CCE4"/>
            <w:tcW w:w="1823" w:type="dxa"/>
            <w:vAlign w:val="top"/>
            <w:tcBorders>
              <w:top w:val="single" w:color="FFFFFF" w:sz="2" w:space="0"/>
            </w:tcBorders>
          </w:tcPr>
          <w:p>
            <w:pPr>
              <w:pStyle w:val="TableText"/>
              <w:ind w:left="547"/>
              <w:spacing w:before="98" w:line="179" w:lineRule="auto"/>
              <w:rPr/>
            </w:pPr>
            <w:r>
              <w:rPr>
                <w:spacing w:val="3"/>
              </w:rPr>
              <w:t>300421</w:t>
            </w:r>
          </w:p>
        </w:tc>
        <w:tc>
          <w:tcPr>
            <w:shd w:val="clear" w:fill="B8CCE4"/>
            <w:tcW w:w="1343" w:type="dxa"/>
            <w:vAlign w:val="top"/>
            <w:tcBorders>
              <w:top w:val="single" w:color="FFFFFF" w:sz="2" w:space="0"/>
            </w:tcBorders>
          </w:tcPr>
          <w:p>
            <w:pPr>
              <w:pStyle w:val="TableText"/>
              <w:ind w:left="245"/>
              <w:spacing w:before="86" w:line="188" w:lineRule="auto"/>
              <w:rPr/>
            </w:pPr>
            <w:r>
              <w:rPr>
                <w:spacing w:val="8"/>
              </w:rPr>
              <w:t>力星股份</w:t>
            </w:r>
          </w:p>
        </w:tc>
        <w:tc>
          <w:tcPr>
            <w:shd w:val="clear" w:fill="B8CCE4"/>
            <w:tcW w:w="6140" w:type="dxa"/>
            <w:vAlign w:val="top"/>
            <w:tcBorders>
              <w:top w:val="single" w:color="FFFFFF" w:sz="2" w:space="0"/>
            </w:tcBorders>
          </w:tcPr>
          <w:p>
            <w:pPr>
              <w:pStyle w:val="TableText"/>
              <w:ind w:left="102"/>
              <w:spacing w:before="85" w:line="189" w:lineRule="auto"/>
              <w:rPr/>
            </w:pPr>
            <w:r>
              <w:rPr>
                <w:spacing w:val="8"/>
              </w:rPr>
              <w:t>监事配偶</w:t>
            </w:r>
            <w:r>
              <w:rPr>
                <w:b/>
                <w:bCs/>
                <w:spacing w:val="8"/>
              </w:rPr>
              <w:t>短线交易。</w:t>
            </w:r>
          </w:p>
        </w:tc>
      </w:tr>
      <w:tr>
        <w:trPr>
          <w:trHeight w:val="725" w:hRule="atLeast"/>
        </w:trPr>
        <w:tc>
          <w:tcPr>
            <w:tcW w:w="9306" w:type="dxa"/>
            <w:vAlign w:val="top"/>
            <w:gridSpan w:val="3"/>
          </w:tcPr>
          <w:p>
            <w:pPr>
              <w:pStyle w:val="TableText"/>
              <w:ind w:left="106" w:right="103" w:firstLine="16"/>
              <w:spacing w:before="37" w:line="237" w:lineRule="auto"/>
              <w:rPr/>
            </w:pPr>
            <w:r>
              <w:rPr>
                <w:b/>
                <w:bCs/>
                <w:spacing w:val="10"/>
              </w:rPr>
              <w:t>【行政监管措施】</w:t>
            </w:r>
            <w:r>
              <w:rPr>
                <w:b/>
                <w:bCs/>
                <w:spacing w:val="-27"/>
              </w:rPr>
              <w:t xml:space="preserve"> </w:t>
            </w:r>
            <w:r>
              <w:rPr>
                <w:spacing w:val="10"/>
              </w:rPr>
              <w:t>中国证券监督管理委员会江苏监管局决定对监事杨某峰采取出具警示函的行政监</w:t>
            </w:r>
            <w:r>
              <w:rPr/>
              <w:t xml:space="preserve"> </w:t>
            </w:r>
            <w:r>
              <w:rPr>
                <w:spacing w:val="6"/>
              </w:rPr>
              <w:t>管措施。</w:t>
            </w:r>
          </w:p>
        </w:tc>
      </w:tr>
      <w:tr>
        <w:trPr>
          <w:trHeight w:val="724" w:hRule="atLeast"/>
        </w:trPr>
        <w:tc>
          <w:tcPr>
            <w:shd w:val="clear" w:fill="B8CCE4"/>
            <w:tcW w:w="1823" w:type="dxa"/>
            <w:vAlign w:val="top"/>
          </w:tcPr>
          <w:p>
            <w:pPr>
              <w:pStyle w:val="TableText"/>
              <w:ind w:left="545"/>
              <w:spacing w:before="274" w:line="179" w:lineRule="auto"/>
              <w:rPr/>
            </w:pPr>
            <w:r>
              <w:rPr>
                <w:spacing w:val="3"/>
              </w:rPr>
              <w:t>688017</w:t>
            </w:r>
          </w:p>
        </w:tc>
        <w:tc>
          <w:tcPr>
            <w:shd w:val="clear" w:fill="B8CCE4"/>
            <w:tcW w:w="1343" w:type="dxa"/>
            <w:vAlign w:val="top"/>
          </w:tcPr>
          <w:p>
            <w:pPr>
              <w:pStyle w:val="TableText"/>
              <w:ind w:left="244"/>
              <w:spacing w:before="261" w:line="189" w:lineRule="auto"/>
              <w:rPr/>
            </w:pPr>
            <w:r>
              <w:rPr>
                <w:spacing w:val="8"/>
              </w:rPr>
              <w:t>绿的谐波</w:t>
            </w:r>
          </w:p>
        </w:tc>
        <w:tc>
          <w:tcPr>
            <w:shd w:val="clear" w:fill="B8CCE4"/>
            <w:tcW w:w="6140" w:type="dxa"/>
            <w:vAlign w:val="top"/>
          </w:tcPr>
          <w:p>
            <w:pPr>
              <w:pStyle w:val="TableText"/>
              <w:ind w:left="100" w:right="103" w:firstLine="1"/>
              <w:spacing w:before="79" w:line="222" w:lineRule="auto"/>
              <w:rPr/>
            </w:pPr>
            <w:r>
              <w:rPr>
                <w:spacing w:val="9"/>
              </w:rPr>
              <w:t>部分闲置募集资金</w:t>
            </w:r>
            <w:r>
              <w:rPr>
                <w:b/>
                <w:bCs/>
                <w:spacing w:val="9"/>
              </w:rPr>
              <w:t>现金管理</w:t>
            </w:r>
            <w:r>
              <w:rPr>
                <w:spacing w:val="9"/>
              </w:rPr>
              <w:t>超期未及时审议并披露； 将募</w:t>
            </w:r>
            <w:r>
              <w:rPr>
                <w:spacing w:val="8"/>
              </w:rPr>
              <w:t>集资金</w:t>
            </w:r>
            <w:r>
              <w:rPr/>
              <w:t xml:space="preserve"> </w:t>
            </w:r>
            <w:r>
              <w:rPr>
                <w:spacing w:val="9"/>
              </w:rPr>
              <w:t>违规转入一般户进行</w:t>
            </w:r>
            <w:r>
              <w:rPr>
                <w:b/>
                <w:bCs/>
                <w:spacing w:val="9"/>
              </w:rPr>
              <w:t>现金管理。</w:t>
            </w:r>
          </w:p>
        </w:tc>
      </w:tr>
      <w:tr>
        <w:trPr>
          <w:trHeight w:val="1085" w:hRule="atLeast"/>
        </w:trPr>
        <w:tc>
          <w:tcPr>
            <w:tcW w:w="9306" w:type="dxa"/>
            <w:vAlign w:val="top"/>
            <w:gridSpan w:val="3"/>
          </w:tcPr>
          <w:p>
            <w:pPr>
              <w:pStyle w:val="TableText"/>
              <w:ind w:left="105" w:right="110" w:firstLine="17"/>
              <w:spacing w:before="41" w:line="241" w:lineRule="auto"/>
              <w:jc w:val="both"/>
              <w:rPr/>
            </w:pPr>
            <w:r>
              <w:rPr>
                <w:b/>
                <w:bCs/>
                <w:spacing w:val="9"/>
              </w:rPr>
              <w:t>【行政监管措施】</w:t>
            </w:r>
            <w:r>
              <w:rPr>
                <w:b/>
                <w:bCs/>
                <w:spacing w:val="-29"/>
              </w:rPr>
              <w:t xml:space="preserve"> </w:t>
            </w:r>
            <w:r>
              <w:rPr>
                <w:spacing w:val="9"/>
              </w:rPr>
              <w:t>中国证券监督管理委员会江苏监管局决定对苏州绿的谐波</w:t>
            </w:r>
            <w:r>
              <w:rPr>
                <w:spacing w:val="8"/>
              </w:rPr>
              <w:t>传动科技股份有限公司</w:t>
            </w:r>
            <w:r>
              <w:rPr/>
              <w:t xml:space="preserve">  </w:t>
            </w:r>
            <w:r>
              <w:rPr>
                <w:spacing w:val="10"/>
              </w:rPr>
              <w:t>和时任董秘张某文、董事会秘书归某、财务总监沈某采取出具警示</w:t>
            </w:r>
            <w:r>
              <w:rPr>
                <w:spacing w:val="9"/>
              </w:rPr>
              <w:t>函的监督管理措施,并记入证券期</w:t>
            </w:r>
            <w:r>
              <w:rPr/>
              <w:t xml:space="preserve"> </w:t>
            </w:r>
            <w:r>
              <w:rPr>
                <w:spacing w:val="8"/>
              </w:rPr>
              <w:t>货市场诚信档案。</w:t>
            </w:r>
          </w:p>
        </w:tc>
      </w:tr>
      <w:tr>
        <w:trPr>
          <w:trHeight w:val="365" w:hRule="atLeast"/>
        </w:trPr>
        <w:tc>
          <w:tcPr>
            <w:shd w:val="clear" w:fill="B8CCE4"/>
            <w:tcW w:w="1823" w:type="dxa"/>
            <w:vAlign w:val="top"/>
          </w:tcPr>
          <w:p>
            <w:pPr>
              <w:pStyle w:val="TableText"/>
              <w:ind w:left="542"/>
              <w:spacing w:before="97" w:line="178" w:lineRule="auto"/>
              <w:rPr/>
            </w:pPr>
            <w:r>
              <w:rPr>
                <w:spacing w:val="3"/>
              </w:rPr>
              <w:t>002685</w:t>
            </w:r>
          </w:p>
        </w:tc>
        <w:tc>
          <w:tcPr>
            <w:shd w:val="clear" w:fill="B8CCE4"/>
            <w:tcW w:w="1343" w:type="dxa"/>
            <w:vAlign w:val="top"/>
          </w:tcPr>
          <w:p>
            <w:pPr>
              <w:pStyle w:val="TableText"/>
              <w:ind w:left="245"/>
              <w:spacing w:before="83" w:line="189" w:lineRule="auto"/>
              <w:rPr/>
            </w:pPr>
            <w:r>
              <w:rPr>
                <w:spacing w:val="8"/>
              </w:rPr>
              <w:t>华东重机</w:t>
            </w:r>
          </w:p>
        </w:tc>
        <w:tc>
          <w:tcPr>
            <w:shd w:val="clear" w:fill="B8CCE4"/>
            <w:tcW w:w="6140" w:type="dxa"/>
            <w:vAlign w:val="top"/>
          </w:tcPr>
          <w:p>
            <w:pPr>
              <w:pStyle w:val="TableText"/>
              <w:ind w:left="102"/>
              <w:spacing w:before="83" w:line="189" w:lineRule="auto"/>
              <w:rPr/>
            </w:pPr>
            <w:r>
              <w:rPr>
                <w:spacing w:val="8"/>
              </w:rPr>
              <w:t>董事兼副总经理配偶</w:t>
            </w:r>
            <w:r>
              <w:rPr>
                <w:b/>
                <w:bCs/>
                <w:spacing w:val="8"/>
              </w:rPr>
              <w:t>短线交易</w:t>
            </w:r>
            <w:r>
              <w:rPr>
                <w:spacing w:val="8"/>
              </w:rPr>
              <w:t>。</w:t>
            </w:r>
          </w:p>
        </w:tc>
      </w:tr>
      <w:tr>
        <w:trPr>
          <w:trHeight w:val="724" w:hRule="atLeast"/>
        </w:trPr>
        <w:tc>
          <w:tcPr>
            <w:tcW w:w="9306" w:type="dxa"/>
            <w:vAlign w:val="top"/>
            <w:gridSpan w:val="3"/>
          </w:tcPr>
          <w:p>
            <w:pPr>
              <w:pStyle w:val="TableText"/>
              <w:ind w:left="106" w:right="158" w:firstLine="16"/>
              <w:spacing w:before="41" w:line="235" w:lineRule="auto"/>
              <w:rPr/>
            </w:pPr>
            <w:r>
              <w:rPr>
                <w:b/>
                <w:bCs/>
                <w:spacing w:val="9"/>
              </w:rPr>
              <w:t>【行政监管措施】</w:t>
            </w:r>
            <w:r>
              <w:rPr>
                <w:b/>
                <w:bCs/>
                <w:spacing w:val="-29"/>
              </w:rPr>
              <w:t xml:space="preserve"> </w:t>
            </w:r>
            <w:r>
              <w:rPr>
                <w:spacing w:val="9"/>
              </w:rPr>
              <w:t>中国证券监督管理委员会江苏监管局决定对董事、高管朱</w:t>
            </w:r>
            <w:r>
              <w:rPr>
                <w:spacing w:val="8"/>
              </w:rPr>
              <w:t>某国采取出具警示函的</w:t>
            </w:r>
            <w:r>
              <w:rPr/>
              <w:t xml:space="preserve"> </w:t>
            </w:r>
            <w:r>
              <w:rPr>
                <w:spacing w:val="7"/>
              </w:rPr>
              <w:t>行政监管措施。</w:t>
            </w:r>
          </w:p>
        </w:tc>
      </w:tr>
      <w:tr>
        <w:trPr>
          <w:trHeight w:val="725" w:hRule="atLeast"/>
        </w:trPr>
        <w:tc>
          <w:tcPr>
            <w:shd w:val="clear" w:fill="B8CCE4"/>
            <w:tcW w:w="1823" w:type="dxa"/>
            <w:vAlign w:val="top"/>
          </w:tcPr>
          <w:p>
            <w:pPr>
              <w:pStyle w:val="TableText"/>
              <w:ind w:left="542"/>
              <w:spacing w:before="279" w:line="178" w:lineRule="auto"/>
              <w:rPr/>
            </w:pPr>
            <w:r>
              <w:rPr>
                <w:spacing w:val="3"/>
              </w:rPr>
              <w:t>002437</w:t>
            </w:r>
          </w:p>
        </w:tc>
        <w:tc>
          <w:tcPr>
            <w:shd w:val="clear" w:fill="B8CCE4"/>
            <w:tcW w:w="1343" w:type="dxa"/>
            <w:vAlign w:val="top"/>
          </w:tcPr>
          <w:p>
            <w:pPr>
              <w:pStyle w:val="TableText"/>
              <w:ind w:left="243"/>
              <w:spacing w:before="264" w:line="189" w:lineRule="auto"/>
              <w:rPr/>
            </w:pPr>
            <w:r>
              <w:rPr>
                <w:spacing w:val="8"/>
              </w:rPr>
              <w:t>誉衡药业</w:t>
            </w:r>
          </w:p>
        </w:tc>
        <w:tc>
          <w:tcPr>
            <w:shd w:val="clear" w:fill="B8CCE4"/>
            <w:tcW w:w="6140" w:type="dxa"/>
            <w:vAlign w:val="top"/>
          </w:tcPr>
          <w:p>
            <w:pPr>
              <w:pStyle w:val="TableText"/>
              <w:ind w:left="101" w:right="149" w:hanging="1"/>
              <w:spacing w:before="83" w:line="221" w:lineRule="auto"/>
              <w:rPr/>
            </w:pPr>
            <w:r>
              <w:rPr>
                <w:spacing w:val="14"/>
              </w:rPr>
              <w:t>公司2023年度业绩预告披露的财务数据与年度报告</w:t>
            </w:r>
            <w:r>
              <w:rPr>
                <w:b/>
                <w:bCs/>
                <w:spacing w:val="14"/>
              </w:rPr>
              <w:t>差异较</w:t>
            </w:r>
            <w:r>
              <w:rPr>
                <w:b/>
                <w:bCs/>
                <w:spacing w:val="13"/>
              </w:rPr>
              <w:t>大</w:t>
            </w:r>
            <w:r>
              <w:rPr>
                <w:spacing w:val="13"/>
              </w:rPr>
              <w:t>，</w:t>
            </w:r>
            <w:r>
              <w:rPr/>
              <w:t xml:space="preserve"> </w:t>
            </w:r>
            <w:r>
              <w:rPr>
                <w:spacing w:val="8"/>
              </w:rPr>
              <w:t>业绩预告信息披露不准确。</w:t>
            </w:r>
          </w:p>
        </w:tc>
      </w:tr>
      <w:tr>
        <w:trPr>
          <w:trHeight w:val="724" w:hRule="atLeast"/>
        </w:trPr>
        <w:tc>
          <w:tcPr>
            <w:tcW w:w="9306" w:type="dxa"/>
            <w:vAlign w:val="top"/>
            <w:gridSpan w:val="3"/>
          </w:tcPr>
          <w:p>
            <w:pPr>
              <w:pStyle w:val="TableText"/>
              <w:ind w:left="107" w:right="158" w:firstLine="15"/>
              <w:spacing w:before="41" w:line="235" w:lineRule="auto"/>
              <w:rPr/>
            </w:pPr>
            <w:r>
              <w:rPr>
                <w:b/>
                <w:bCs/>
                <w:spacing w:val="9"/>
              </w:rPr>
              <w:t>【行政监管措施】</w:t>
            </w:r>
            <w:r>
              <w:rPr>
                <w:b/>
                <w:bCs/>
                <w:spacing w:val="-29"/>
              </w:rPr>
              <w:t xml:space="preserve"> </w:t>
            </w:r>
            <w:r>
              <w:rPr>
                <w:spacing w:val="9"/>
              </w:rPr>
              <w:t>中国证券监督管理委员会黑龙江监管局决定对哈尔滨誉衡</w:t>
            </w:r>
            <w:r>
              <w:rPr>
                <w:spacing w:val="8"/>
              </w:rPr>
              <w:t>药业股份有限公司、董</w:t>
            </w:r>
            <w:r>
              <w:rPr/>
              <w:t xml:space="preserve"> </w:t>
            </w:r>
            <w:r>
              <w:rPr>
                <w:spacing w:val="8"/>
              </w:rPr>
              <w:t>事长胡某、高管,总经理国某峰采取出具警示函的行政监管措施， 并记入证券</w:t>
            </w:r>
            <w:r>
              <w:rPr>
                <w:spacing w:val="7"/>
              </w:rPr>
              <w:t>期货市场诚信档案。</w:t>
            </w:r>
          </w:p>
        </w:tc>
      </w:tr>
      <w:tr>
        <w:trPr>
          <w:trHeight w:val="725" w:hRule="atLeast"/>
        </w:trPr>
        <w:tc>
          <w:tcPr>
            <w:shd w:val="clear" w:fill="B8CCE4"/>
            <w:tcW w:w="1823" w:type="dxa"/>
            <w:vAlign w:val="top"/>
          </w:tcPr>
          <w:p>
            <w:pPr>
              <w:pStyle w:val="TableText"/>
              <w:ind w:left="547"/>
              <w:spacing w:before="281" w:line="178" w:lineRule="auto"/>
              <w:rPr/>
            </w:pPr>
            <w:r>
              <w:rPr>
                <w:spacing w:val="3"/>
              </w:rPr>
              <w:t>300635</w:t>
            </w:r>
          </w:p>
        </w:tc>
        <w:tc>
          <w:tcPr>
            <w:shd w:val="clear" w:fill="B8CCE4"/>
            <w:tcW w:w="1343" w:type="dxa"/>
            <w:vAlign w:val="top"/>
          </w:tcPr>
          <w:p>
            <w:pPr>
              <w:pStyle w:val="TableText"/>
              <w:ind w:left="361"/>
              <w:spacing w:before="265" w:line="190" w:lineRule="auto"/>
              <w:rPr/>
            </w:pPr>
            <w:r>
              <w:rPr>
                <w:spacing w:val="3"/>
              </w:rPr>
              <w:t>中达安</w:t>
            </w:r>
          </w:p>
        </w:tc>
        <w:tc>
          <w:tcPr>
            <w:shd w:val="clear" w:fill="B8CCE4"/>
            <w:tcW w:w="6140" w:type="dxa"/>
            <w:vAlign w:val="top"/>
          </w:tcPr>
          <w:p>
            <w:pPr>
              <w:pStyle w:val="TableText"/>
              <w:ind w:left="108" w:right="103" w:hanging="7"/>
              <w:spacing w:before="48" w:line="233" w:lineRule="auto"/>
              <w:rPr/>
            </w:pPr>
            <w:r>
              <w:rPr>
                <w:spacing w:val="7"/>
              </w:rPr>
              <w:t>大信会计师事务所 （特殊普通合伙） 及注</w:t>
            </w:r>
            <w:r>
              <w:rPr>
                <w:spacing w:val="6"/>
              </w:rPr>
              <w:t>册会计师负责的中达安</w:t>
            </w:r>
            <w:r>
              <w:rPr/>
              <w:t xml:space="preserve"> </w:t>
            </w:r>
            <w:r>
              <w:rPr>
                <w:b/>
                <w:bCs/>
                <w:spacing w:val="7"/>
              </w:rPr>
              <w:t>审计工作</w:t>
            </w:r>
            <w:r>
              <w:rPr>
                <w:spacing w:val="7"/>
              </w:rPr>
              <w:t>存在问题。</w:t>
            </w:r>
          </w:p>
        </w:tc>
      </w:tr>
      <w:tr>
        <w:trPr>
          <w:trHeight w:val="724" w:hRule="atLeast"/>
        </w:trPr>
        <w:tc>
          <w:tcPr>
            <w:tcW w:w="9306" w:type="dxa"/>
            <w:vAlign w:val="top"/>
            <w:gridSpan w:val="3"/>
          </w:tcPr>
          <w:p>
            <w:pPr>
              <w:pStyle w:val="TableText"/>
              <w:ind w:left="115" w:right="161" w:firstLine="8"/>
              <w:spacing w:before="44" w:line="234" w:lineRule="auto"/>
              <w:rPr/>
            </w:pPr>
            <w:r>
              <w:rPr>
                <w:b/>
                <w:bCs/>
                <w:spacing w:val="9"/>
              </w:rPr>
              <w:t>【行政监管措施</w:t>
            </w:r>
            <w:r>
              <w:rPr>
                <w:spacing w:val="9"/>
              </w:rPr>
              <w:t>】</w:t>
            </w:r>
            <w:r>
              <w:rPr>
                <w:spacing w:val="-31"/>
              </w:rPr>
              <w:t xml:space="preserve"> </w:t>
            </w:r>
            <w:r>
              <w:rPr>
                <w:spacing w:val="9"/>
              </w:rPr>
              <w:t>中国证券监督管理委员会广东监管局决定对大信所和注册</w:t>
            </w:r>
            <w:r>
              <w:rPr>
                <w:spacing w:val="8"/>
              </w:rPr>
              <w:t>会计师采取出具警示函</w:t>
            </w:r>
            <w:r>
              <w:rPr/>
              <w:t xml:space="preserve"> </w:t>
            </w:r>
            <w:r>
              <w:rPr>
                <w:spacing w:val="7"/>
              </w:rPr>
              <w:t>的行政监管措施。</w:t>
            </w:r>
          </w:p>
        </w:tc>
      </w:tr>
      <w:tr>
        <w:trPr>
          <w:trHeight w:val="725" w:hRule="atLeast"/>
        </w:trPr>
        <w:tc>
          <w:tcPr>
            <w:shd w:val="clear" w:fill="B8CCE4"/>
            <w:tcW w:w="1823" w:type="dxa"/>
            <w:vAlign w:val="top"/>
          </w:tcPr>
          <w:p>
            <w:pPr>
              <w:pStyle w:val="TableText"/>
              <w:ind w:left="547"/>
              <w:spacing w:before="283" w:line="178" w:lineRule="auto"/>
              <w:rPr/>
            </w:pPr>
            <w:r>
              <w:rPr>
                <w:spacing w:val="3"/>
              </w:rPr>
              <w:t>300635</w:t>
            </w:r>
          </w:p>
        </w:tc>
        <w:tc>
          <w:tcPr>
            <w:shd w:val="clear" w:fill="B8CCE4"/>
            <w:tcW w:w="1343" w:type="dxa"/>
            <w:vAlign w:val="top"/>
          </w:tcPr>
          <w:p>
            <w:pPr>
              <w:pStyle w:val="TableText"/>
              <w:ind w:left="361"/>
              <w:spacing w:before="267" w:line="190" w:lineRule="auto"/>
              <w:rPr/>
            </w:pPr>
            <w:r>
              <w:rPr>
                <w:spacing w:val="3"/>
              </w:rPr>
              <w:t>中达安</w:t>
            </w:r>
          </w:p>
        </w:tc>
        <w:tc>
          <w:tcPr>
            <w:shd w:val="clear" w:fill="B8CCE4"/>
            <w:tcW w:w="6140" w:type="dxa"/>
            <w:vAlign w:val="top"/>
          </w:tcPr>
          <w:p>
            <w:pPr>
              <w:pStyle w:val="TableText"/>
              <w:ind w:left="101" w:right="146"/>
              <w:spacing w:before="88" w:line="219" w:lineRule="auto"/>
              <w:rPr/>
            </w:pPr>
            <w:r>
              <w:rPr>
                <w:b/>
                <w:bCs/>
                <w:spacing w:val="5"/>
              </w:rPr>
              <w:t>财务核算</w:t>
            </w:r>
            <w:r>
              <w:rPr>
                <w:spacing w:val="5"/>
              </w:rPr>
              <w:t>不准确； 公司业绩预告与实际情况</w:t>
            </w:r>
            <w:r>
              <w:rPr>
                <w:b/>
                <w:bCs/>
                <w:spacing w:val="5"/>
              </w:rPr>
              <w:t>差异较大</w:t>
            </w:r>
            <w:r>
              <w:rPr>
                <w:spacing w:val="5"/>
              </w:rPr>
              <w:t>； 公司未按</w:t>
            </w:r>
            <w:r>
              <w:rPr>
                <w:spacing w:val="7"/>
              </w:rPr>
              <w:t xml:space="preserve"> </w:t>
            </w:r>
            <w:r>
              <w:rPr>
                <w:spacing w:val="8"/>
              </w:rPr>
              <w:t>规定审议及披露</w:t>
            </w:r>
            <w:r>
              <w:rPr>
                <w:b/>
                <w:bCs/>
                <w:spacing w:val="8"/>
              </w:rPr>
              <w:t>关联交易</w:t>
            </w:r>
            <w:r>
              <w:rPr>
                <w:spacing w:val="8"/>
              </w:rPr>
              <w:t>。</w:t>
            </w:r>
          </w:p>
        </w:tc>
      </w:tr>
      <w:tr>
        <w:trPr>
          <w:trHeight w:val="724" w:hRule="atLeast"/>
        </w:trPr>
        <w:tc>
          <w:tcPr>
            <w:tcW w:w="9306" w:type="dxa"/>
            <w:vAlign w:val="top"/>
            <w:gridSpan w:val="3"/>
          </w:tcPr>
          <w:p>
            <w:pPr>
              <w:pStyle w:val="TableText"/>
              <w:ind w:left="107" w:right="103" w:firstLine="16"/>
              <w:spacing w:before="44" w:line="234" w:lineRule="auto"/>
              <w:rPr/>
            </w:pPr>
            <w:r>
              <w:rPr>
                <w:b/>
                <w:bCs/>
                <w:spacing w:val="10"/>
              </w:rPr>
              <w:t>【行政监管措施】</w:t>
            </w:r>
            <w:r>
              <w:rPr>
                <w:b/>
                <w:bCs/>
                <w:spacing w:val="-27"/>
              </w:rPr>
              <w:t xml:space="preserve"> </w:t>
            </w:r>
            <w:r>
              <w:rPr>
                <w:spacing w:val="10"/>
              </w:rPr>
              <w:t>中国证券监督管理委员会广东监管局决定对中达安、董事长张某、时任总经理吴</w:t>
            </w:r>
            <w:r>
              <w:rPr/>
              <w:t xml:space="preserve"> </w:t>
            </w:r>
            <w:r>
              <w:rPr>
                <w:spacing w:val="10"/>
              </w:rPr>
              <w:t>某晔、总经理陈某宝、财务总监杨某、董事会秘</w:t>
            </w:r>
            <w:r>
              <w:rPr>
                <w:spacing w:val="9"/>
              </w:rPr>
              <w:t>书张某采取出具警示函的行政监管措施。</w:t>
            </w:r>
          </w:p>
        </w:tc>
      </w:tr>
      <w:tr>
        <w:trPr>
          <w:trHeight w:val="1085" w:hRule="atLeast"/>
        </w:trPr>
        <w:tc>
          <w:tcPr>
            <w:shd w:val="clear" w:fill="B8CCE4"/>
            <w:tcW w:w="1823" w:type="dxa"/>
            <w:vAlign w:val="top"/>
          </w:tcPr>
          <w:p>
            <w:pPr>
              <w:spacing w:line="376" w:lineRule="auto"/>
              <w:rPr>
                <w:rFonts w:ascii="Arial"/>
                <w:sz w:val="21"/>
              </w:rPr>
            </w:pPr>
            <w:r/>
          </w:p>
          <w:p>
            <w:pPr>
              <w:pStyle w:val="TableText"/>
              <w:ind w:left="545"/>
              <w:spacing w:before="86" w:line="178" w:lineRule="auto"/>
              <w:rPr/>
            </w:pPr>
            <w:r>
              <w:rPr>
                <w:spacing w:val="3"/>
              </w:rPr>
              <w:t>600759</w:t>
            </w:r>
          </w:p>
        </w:tc>
        <w:tc>
          <w:tcPr>
            <w:shd w:val="clear" w:fill="B8CCE4"/>
            <w:tcW w:w="1343" w:type="dxa"/>
            <w:vAlign w:val="top"/>
          </w:tcPr>
          <w:p>
            <w:pPr>
              <w:spacing w:line="362" w:lineRule="auto"/>
              <w:rPr>
                <w:rFonts w:ascii="Arial"/>
                <w:sz w:val="21"/>
              </w:rPr>
            </w:pPr>
            <w:r/>
          </w:p>
          <w:p>
            <w:pPr>
              <w:pStyle w:val="TableText"/>
              <w:ind w:left="244"/>
              <w:spacing w:before="85" w:line="189" w:lineRule="auto"/>
              <w:rPr/>
            </w:pPr>
            <w:r>
              <w:rPr>
                <w:spacing w:val="8"/>
              </w:rPr>
              <w:t>洲际油气</w:t>
            </w:r>
          </w:p>
        </w:tc>
        <w:tc>
          <w:tcPr>
            <w:shd w:val="clear" w:fill="B8CCE4"/>
            <w:tcW w:w="6140" w:type="dxa"/>
            <w:vAlign w:val="top"/>
          </w:tcPr>
          <w:p>
            <w:pPr>
              <w:pStyle w:val="TableText"/>
              <w:ind w:left="101" w:right="103"/>
              <w:spacing w:before="54" w:line="238" w:lineRule="auto"/>
              <w:jc w:val="both"/>
              <w:rPr/>
            </w:pPr>
            <w:r>
              <w:rPr>
                <w:spacing w:val="7"/>
              </w:rPr>
              <w:t>大华会计师事务所 （特殊普通合伙） 、注</w:t>
            </w:r>
            <w:r>
              <w:rPr>
                <w:spacing w:val="6"/>
              </w:rPr>
              <w:t>册会计师执业的洲际油</w:t>
            </w:r>
            <w:r>
              <w:rPr/>
              <w:t xml:space="preserve"> </w:t>
            </w:r>
            <w:r>
              <w:rPr>
                <w:spacing w:val="11"/>
              </w:rPr>
              <w:t>气股份有限公司</w:t>
            </w:r>
            <w:r>
              <w:rPr>
                <w:b/>
                <w:bCs/>
                <w:spacing w:val="11"/>
              </w:rPr>
              <w:t>2020年度至2022年度财务</w:t>
            </w:r>
            <w:r>
              <w:rPr>
                <w:b/>
                <w:bCs/>
                <w:spacing w:val="10"/>
              </w:rPr>
              <w:t>报表审计项目</w:t>
            </w:r>
            <w:r>
              <w:rPr>
                <w:spacing w:val="10"/>
              </w:rPr>
              <w:t>存在问</w:t>
            </w:r>
            <w:r>
              <w:rPr/>
              <w:t xml:space="preserve"> </w:t>
            </w:r>
            <w:r>
              <w:rPr>
                <w:spacing w:val="3"/>
              </w:rPr>
              <w:t>题。</w:t>
            </w:r>
          </w:p>
        </w:tc>
      </w:tr>
      <w:tr>
        <w:trPr>
          <w:trHeight w:val="724" w:hRule="atLeast"/>
        </w:trPr>
        <w:tc>
          <w:tcPr>
            <w:tcW w:w="9306" w:type="dxa"/>
            <w:vAlign w:val="top"/>
            <w:gridSpan w:val="3"/>
          </w:tcPr>
          <w:p>
            <w:pPr>
              <w:pStyle w:val="TableText"/>
              <w:ind w:left="106" w:right="578" w:firstLine="17"/>
              <w:spacing w:before="47" w:line="233" w:lineRule="auto"/>
              <w:rPr/>
            </w:pPr>
            <w:r>
              <w:rPr>
                <w:b/>
                <w:bCs/>
                <w:spacing w:val="7"/>
              </w:rPr>
              <w:t>【行政监管措施】</w:t>
            </w:r>
            <w:r>
              <w:rPr>
                <w:b/>
                <w:bCs/>
                <w:spacing w:val="-25"/>
              </w:rPr>
              <w:t xml:space="preserve"> </w:t>
            </w:r>
            <w:r>
              <w:rPr>
                <w:spacing w:val="7"/>
              </w:rPr>
              <w:t>中国证券监督管理委员会海南监管局决定对大华会计师事务所 （特殊普通合</w:t>
            </w:r>
            <w:r>
              <w:rPr/>
              <w:t xml:space="preserve"> </w:t>
            </w:r>
            <w:r>
              <w:rPr>
                <w:spacing w:val="6"/>
              </w:rPr>
              <w:t>伙） 、注册会计师采取出具警示函的行政监管措施， 并记入资本市场诚信档案数据库。</w:t>
            </w:r>
          </w:p>
        </w:tc>
      </w:tr>
      <w:tr>
        <w:trPr>
          <w:trHeight w:val="365" w:hRule="atLeast"/>
        </w:trPr>
        <w:tc>
          <w:tcPr>
            <w:shd w:val="clear" w:fill="B8CCE4"/>
            <w:tcW w:w="1823" w:type="dxa"/>
            <w:vAlign w:val="top"/>
          </w:tcPr>
          <w:p>
            <w:pPr>
              <w:pStyle w:val="TableText"/>
              <w:ind w:left="547"/>
              <w:spacing w:before="109" w:line="172" w:lineRule="auto"/>
              <w:rPr/>
            </w:pPr>
            <w:r>
              <w:rPr>
                <w:spacing w:val="3"/>
              </w:rPr>
              <w:t>300022</w:t>
            </w:r>
          </w:p>
        </w:tc>
        <w:tc>
          <w:tcPr>
            <w:shd w:val="clear" w:fill="B8CCE4"/>
            <w:tcW w:w="1343" w:type="dxa"/>
            <w:vAlign w:val="top"/>
          </w:tcPr>
          <w:p>
            <w:pPr>
              <w:pStyle w:val="TableText"/>
              <w:ind w:left="247"/>
              <w:spacing w:before="94" w:line="182" w:lineRule="auto"/>
              <w:rPr/>
            </w:pPr>
            <w:r>
              <w:rPr>
                <w:spacing w:val="7"/>
              </w:rPr>
              <w:t>吉峰科技</w:t>
            </w:r>
          </w:p>
        </w:tc>
        <w:tc>
          <w:tcPr>
            <w:shd w:val="clear" w:fill="B8CCE4"/>
            <w:tcW w:w="6140" w:type="dxa"/>
            <w:vAlign w:val="top"/>
          </w:tcPr>
          <w:p>
            <w:pPr>
              <w:pStyle w:val="TableText"/>
              <w:ind w:left="102"/>
              <w:spacing w:before="94" w:line="182" w:lineRule="auto"/>
              <w:rPr/>
            </w:pPr>
            <w:r>
              <w:rPr>
                <w:spacing w:val="8"/>
              </w:rPr>
              <w:t>董事亲属</w:t>
            </w:r>
            <w:r>
              <w:rPr>
                <w:b/>
                <w:bCs/>
                <w:spacing w:val="8"/>
              </w:rPr>
              <w:t>短线交易。</w:t>
            </w:r>
          </w:p>
        </w:tc>
      </w:tr>
      <w:tr>
        <w:trPr>
          <w:trHeight w:val="725" w:hRule="atLeast"/>
        </w:trPr>
        <w:tc>
          <w:tcPr>
            <w:tcW w:w="9306" w:type="dxa"/>
            <w:vAlign w:val="top"/>
            <w:gridSpan w:val="3"/>
          </w:tcPr>
          <w:p>
            <w:pPr>
              <w:pStyle w:val="TableText"/>
              <w:ind w:left="106" w:right="158" w:firstLine="17"/>
              <w:spacing w:before="48" w:line="233" w:lineRule="auto"/>
              <w:rPr/>
            </w:pPr>
            <w:r>
              <w:rPr>
                <w:b/>
                <w:bCs/>
                <w:spacing w:val="9"/>
              </w:rPr>
              <w:t>【行政监管措施】</w:t>
            </w:r>
            <w:r>
              <w:rPr>
                <w:b/>
                <w:bCs/>
                <w:spacing w:val="-29"/>
              </w:rPr>
              <w:t xml:space="preserve"> </w:t>
            </w:r>
            <w:r>
              <w:rPr>
                <w:spacing w:val="9"/>
              </w:rPr>
              <w:t>中国证券监督管理委员会四川监管局决定对董事黄某采取</w:t>
            </w:r>
            <w:r>
              <w:rPr>
                <w:spacing w:val="8"/>
              </w:rPr>
              <w:t>出具警示函的行政监管</w:t>
            </w:r>
            <w:r>
              <w:rPr/>
              <w:t xml:space="preserve"> </w:t>
            </w:r>
            <w:r>
              <w:rPr>
                <w:spacing w:val="5"/>
              </w:rPr>
              <w:t>措施， 并记入证券期货市场诚信档案。</w:t>
            </w:r>
          </w:p>
        </w:tc>
      </w:tr>
      <w:tr>
        <w:trPr>
          <w:trHeight w:val="365" w:hRule="atLeast"/>
        </w:trPr>
        <w:tc>
          <w:tcPr>
            <w:shd w:val="clear" w:fill="B8CCE4"/>
            <w:tcW w:w="1823" w:type="dxa"/>
            <w:vAlign w:val="top"/>
          </w:tcPr>
          <w:p>
            <w:pPr>
              <w:pStyle w:val="TableText"/>
              <w:ind w:left="545"/>
              <w:spacing w:before="107" w:line="173" w:lineRule="auto"/>
              <w:rPr/>
            </w:pPr>
            <w:r>
              <w:rPr>
                <w:spacing w:val="3"/>
              </w:rPr>
              <w:t>603300</w:t>
            </w:r>
          </w:p>
        </w:tc>
        <w:tc>
          <w:tcPr>
            <w:shd w:val="clear" w:fill="B8CCE4"/>
            <w:tcW w:w="1343" w:type="dxa"/>
            <w:vAlign w:val="top"/>
          </w:tcPr>
          <w:p>
            <w:pPr>
              <w:pStyle w:val="TableText"/>
              <w:ind w:left="245"/>
              <w:spacing w:before="91" w:line="184" w:lineRule="auto"/>
              <w:rPr/>
            </w:pPr>
            <w:r>
              <w:rPr>
                <w:spacing w:val="8"/>
              </w:rPr>
              <w:t>华铁应急</w:t>
            </w:r>
          </w:p>
        </w:tc>
        <w:tc>
          <w:tcPr>
            <w:shd w:val="clear" w:fill="B8CCE4"/>
            <w:tcW w:w="6140" w:type="dxa"/>
            <w:vAlign w:val="top"/>
          </w:tcPr>
          <w:p>
            <w:pPr>
              <w:pStyle w:val="TableText"/>
              <w:ind w:left="102"/>
              <w:spacing w:before="91" w:line="184" w:lineRule="auto"/>
              <w:rPr/>
            </w:pPr>
            <w:r>
              <w:rPr>
                <w:spacing w:val="8"/>
              </w:rPr>
              <w:t>董事兼财务总监</w:t>
            </w:r>
            <w:r>
              <w:rPr>
                <w:b/>
                <w:bCs/>
                <w:spacing w:val="8"/>
              </w:rPr>
              <w:t>敏感期买卖。</w:t>
            </w:r>
          </w:p>
        </w:tc>
      </w:tr>
      <w:tr>
        <w:trPr>
          <w:trHeight w:val="725" w:hRule="atLeast"/>
        </w:trPr>
        <w:tc>
          <w:tcPr>
            <w:tcW w:w="9306" w:type="dxa"/>
            <w:vAlign w:val="top"/>
            <w:gridSpan w:val="3"/>
          </w:tcPr>
          <w:p>
            <w:pPr>
              <w:pStyle w:val="TableText"/>
              <w:ind w:left="118" w:right="158" w:firstLine="4"/>
              <w:spacing w:before="51" w:line="232" w:lineRule="auto"/>
              <w:rPr/>
            </w:pPr>
            <w:r>
              <w:rPr>
                <w:b/>
                <w:bCs/>
                <w:spacing w:val="9"/>
              </w:rPr>
              <w:t>【行政监管措施】</w:t>
            </w:r>
            <w:r>
              <w:rPr>
                <w:b/>
                <w:bCs/>
                <w:spacing w:val="-29"/>
              </w:rPr>
              <w:t xml:space="preserve"> </w:t>
            </w:r>
            <w:r>
              <w:rPr>
                <w:spacing w:val="9"/>
              </w:rPr>
              <w:t>中国证券监督管理委员会浙江监管局决定对财务总监、董</w:t>
            </w:r>
            <w:r>
              <w:rPr>
                <w:spacing w:val="8"/>
              </w:rPr>
              <w:t>事张某丽采取出具警示</w:t>
            </w:r>
            <w:r>
              <w:rPr/>
              <w:t xml:space="preserve"> </w:t>
            </w:r>
            <w:r>
              <w:rPr>
                <w:spacing w:val="6"/>
              </w:rPr>
              <w:t>函的监督管理措施， 并记入证券期货市场诚信档</w:t>
            </w:r>
            <w:r>
              <w:rPr>
                <w:spacing w:val="5"/>
              </w:rPr>
              <w:t>案。</w:t>
            </w:r>
          </w:p>
        </w:tc>
      </w:tr>
      <w:tr>
        <w:trPr>
          <w:trHeight w:val="1812" w:hRule="atLeast"/>
        </w:trPr>
        <w:tc>
          <w:tcPr>
            <w:shd w:val="clear" w:fill="B8CCE4"/>
            <w:tcW w:w="1823"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542"/>
              <w:spacing w:before="85" w:line="178" w:lineRule="auto"/>
              <w:rPr/>
            </w:pPr>
            <w:r>
              <w:rPr>
                <w:spacing w:val="3"/>
              </w:rPr>
              <w:t>002628</w:t>
            </w:r>
          </w:p>
        </w:tc>
        <w:tc>
          <w:tcPr>
            <w:shd w:val="clear" w:fill="B8CCE4"/>
            <w:tcW w:w="1343"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242"/>
              <w:spacing w:before="86" w:line="189" w:lineRule="auto"/>
              <w:rPr/>
            </w:pPr>
            <w:r>
              <w:rPr>
                <w:spacing w:val="9"/>
              </w:rPr>
              <w:t>成都路桥</w:t>
            </w:r>
          </w:p>
        </w:tc>
        <w:tc>
          <w:tcPr>
            <w:shd w:val="clear" w:fill="B8CCE4"/>
            <w:tcW w:w="6140" w:type="dxa"/>
            <w:vAlign w:val="top"/>
          </w:tcPr>
          <w:p>
            <w:pPr>
              <w:pStyle w:val="TableText"/>
              <w:ind w:left="99" w:right="103" w:firstLine="11"/>
              <w:spacing w:before="93" w:line="239" w:lineRule="auto"/>
              <w:jc w:val="both"/>
              <w:rPr/>
            </w:pPr>
            <w:r>
              <w:rPr>
                <w:spacing w:val="11"/>
              </w:rPr>
              <w:t>2021年4月至2023年12月， 成都路桥合计购买中铁</w:t>
            </w:r>
            <w:r>
              <w:rPr>
                <w:spacing w:val="10"/>
              </w:rPr>
              <w:t>信托项目集</w:t>
            </w:r>
            <w:r>
              <w:rPr/>
              <w:t xml:space="preserve"> </w:t>
            </w:r>
            <w:r>
              <w:rPr>
                <w:spacing w:val="11"/>
              </w:rPr>
              <w:t>合资金信托计划共15,600万份， 对应金额15,600万元。公司关</w:t>
            </w:r>
            <w:r>
              <w:rPr>
                <w:spacing w:val="18"/>
                <w:w w:val="101"/>
              </w:rPr>
              <w:t xml:space="preserve"> </w:t>
            </w:r>
            <w:r>
              <w:rPr>
                <w:spacing w:val="11"/>
              </w:rPr>
              <w:t>于该信托计划的购买理由、安全性、流动性等披露不完整、不准</w:t>
            </w:r>
            <w:r>
              <w:rPr>
                <w:spacing w:val="13"/>
              </w:rPr>
              <w:t xml:space="preserve"> </w:t>
            </w:r>
            <w:r>
              <w:rPr>
                <w:spacing w:val="9"/>
              </w:rPr>
              <w:t>确； 公司未及时披露信托计划及相关信托贷款发生延期兑付、逾</w:t>
            </w:r>
            <w:r>
              <w:rPr/>
              <w:t xml:space="preserve"> </w:t>
            </w:r>
            <w:r>
              <w:rPr>
                <w:spacing w:val="11"/>
              </w:rPr>
              <w:t>期， 且年报中关于信托贷款续期的披露不准确； </w:t>
            </w:r>
            <w:r>
              <w:rPr>
                <w:spacing w:val="10"/>
              </w:rPr>
              <w:t>公司2023年度</w:t>
            </w:r>
          </w:p>
        </w:tc>
      </w:tr>
    </w:tbl>
    <w:p>
      <w:pPr>
        <w:pStyle w:val="BodyText"/>
        <w:rPr/>
      </w:pPr>
      <w:r/>
    </w:p>
    <w:p>
      <w:pPr>
        <w:sectPr>
          <w:pgSz w:w="11910" w:h="16840"/>
          <w:pgMar w:top="400" w:right="1394" w:bottom="0" w:left="757" w:header="0" w:footer="0" w:gutter="0"/>
        </w:sectPr>
        <w:rPr/>
      </w:pPr>
    </w:p>
    <w:tbl>
      <w:tblPr>
        <w:tblStyle w:val="TableNormal"/>
        <w:tblW w:w="9306"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823"/>
        <w:gridCol w:w="1343"/>
        <w:gridCol w:w="6140"/>
      </w:tblGrid>
      <w:tr>
        <w:trPr>
          <w:trHeight w:val="1464" w:hRule="atLeast"/>
        </w:trPr>
        <w:tc>
          <w:tcPr>
            <w:shd w:val="clear" w:fill="B8CCE4"/>
            <w:tcW w:w="1823" w:type="dxa"/>
            <w:vAlign w:val="top"/>
            <w:tcBorders>
              <w:top w:val="single" w:color="FFFFFF" w:sz="2" w:space="0"/>
            </w:tcBorders>
          </w:tcPr>
          <w:p>
            <w:pPr>
              <w:rPr>
                <w:rFonts w:ascii="Arial"/>
                <w:sz w:val="21"/>
              </w:rPr>
            </w:pPr>
            <w:r/>
          </w:p>
        </w:tc>
        <w:tc>
          <w:tcPr>
            <w:shd w:val="clear" w:fill="B8CCE4"/>
            <w:tcW w:w="1343" w:type="dxa"/>
            <w:vAlign w:val="top"/>
            <w:tcBorders>
              <w:top w:val="single" w:color="FFFFFF" w:sz="2" w:space="0"/>
            </w:tcBorders>
          </w:tcPr>
          <w:p>
            <w:pPr>
              <w:rPr>
                <w:rFonts w:ascii="Arial"/>
                <w:sz w:val="21"/>
              </w:rPr>
            </w:pPr>
            <w:r/>
          </w:p>
        </w:tc>
        <w:tc>
          <w:tcPr>
            <w:shd w:val="clear" w:fill="B8CCE4"/>
            <w:tcW w:w="6140" w:type="dxa"/>
            <w:vAlign w:val="top"/>
            <w:tcBorders>
              <w:top w:val="single" w:color="FFFFFF" w:sz="2" w:space="0"/>
            </w:tcBorders>
          </w:tcPr>
          <w:p>
            <w:pPr>
              <w:pStyle w:val="TableText"/>
              <w:ind w:left="99" w:right="103" w:firstLine="2"/>
              <w:spacing w:before="104" w:line="236" w:lineRule="auto"/>
              <w:jc w:val="both"/>
              <w:rPr/>
            </w:pPr>
            <w:r>
              <w:rPr>
                <w:spacing w:val="9"/>
              </w:rPr>
              <w:t>一季报、半年报、三季报中， 将用于购买并代持信托计划的</w:t>
            </w:r>
            <w:r>
              <w:rPr>
                <w:spacing w:val="8"/>
              </w:rPr>
              <w:t>款项</w:t>
            </w:r>
            <w:r>
              <w:rPr/>
              <w:t xml:space="preserve"> </w:t>
            </w:r>
            <w:r>
              <w:rPr>
                <w:spacing w:val="29"/>
              </w:rPr>
              <w:t>列报为预付账款，</w:t>
            </w:r>
            <w:r>
              <w:rPr>
                <w:spacing w:val="47"/>
                <w:w w:val="101"/>
              </w:rPr>
              <w:t xml:space="preserve"> </w:t>
            </w:r>
            <w:r>
              <w:rPr>
                <w:spacing w:val="29"/>
              </w:rPr>
              <w:t>导致披露的</w:t>
            </w:r>
            <w:r>
              <w:rPr>
                <w:b/>
                <w:bCs/>
                <w:spacing w:val="29"/>
              </w:rPr>
              <w:t>预付账款</w:t>
            </w:r>
            <w:r>
              <w:rPr>
                <w:spacing w:val="29"/>
              </w:rPr>
              <w:t>金额不准确；</w:t>
            </w:r>
            <w:r>
              <w:rPr>
                <w:spacing w:val="28"/>
              </w:rPr>
              <w:t xml:space="preserve"> </w:t>
            </w:r>
            <w:r>
              <w:rPr>
                <w:spacing w:val="29"/>
              </w:rPr>
              <w:t>公司</w:t>
            </w:r>
            <w:r>
              <w:rPr/>
              <w:t xml:space="preserve"> </w:t>
            </w:r>
            <w:r>
              <w:rPr>
                <w:spacing w:val="17"/>
              </w:rPr>
              <w:t>2021</w:t>
            </w:r>
            <w:r>
              <w:rPr>
                <w:spacing w:val="-19"/>
              </w:rPr>
              <w:t xml:space="preserve"> </w:t>
            </w:r>
            <w:r>
              <w:rPr>
                <w:spacing w:val="17"/>
              </w:rPr>
              <w:t>、</w:t>
            </w:r>
            <w:r>
              <w:rPr>
                <w:spacing w:val="-27"/>
              </w:rPr>
              <w:t xml:space="preserve"> </w:t>
            </w:r>
            <w:r>
              <w:rPr>
                <w:spacing w:val="17"/>
              </w:rPr>
              <w:t>2022年度财务报告中关于该</w:t>
            </w:r>
            <w:r>
              <w:rPr>
                <w:b/>
                <w:bCs/>
                <w:spacing w:val="17"/>
              </w:rPr>
              <w:t>公允价值计量</w:t>
            </w:r>
            <w:r>
              <w:rPr>
                <w:spacing w:val="17"/>
              </w:rPr>
              <w:t>的披露不完</w:t>
            </w:r>
            <w:r>
              <w:rPr/>
              <w:t xml:space="preserve"> </w:t>
            </w:r>
            <w:r>
              <w:rPr>
                <w:spacing w:val="4"/>
              </w:rPr>
              <w:t>整。</w:t>
            </w:r>
          </w:p>
        </w:tc>
      </w:tr>
      <w:tr>
        <w:trPr>
          <w:trHeight w:val="1445" w:hRule="atLeast"/>
        </w:trPr>
        <w:tc>
          <w:tcPr>
            <w:tcW w:w="9306" w:type="dxa"/>
            <w:vAlign w:val="top"/>
            <w:gridSpan w:val="3"/>
          </w:tcPr>
          <w:p>
            <w:pPr>
              <w:pStyle w:val="TableText"/>
              <w:ind w:left="106" w:right="110" w:firstLine="16"/>
              <w:spacing w:before="39" w:line="244" w:lineRule="auto"/>
              <w:jc w:val="both"/>
              <w:rPr/>
            </w:pPr>
            <w:r>
              <w:rPr>
                <w:b/>
                <w:bCs/>
                <w:spacing w:val="9"/>
              </w:rPr>
              <w:t>【行政监管措施</w:t>
            </w:r>
            <w:r>
              <w:rPr>
                <w:spacing w:val="9"/>
              </w:rPr>
              <w:t>】</w:t>
            </w:r>
            <w:r>
              <w:rPr>
                <w:spacing w:val="-29"/>
              </w:rPr>
              <w:t xml:space="preserve"> </w:t>
            </w:r>
            <w:r>
              <w:rPr>
                <w:spacing w:val="9"/>
              </w:rPr>
              <w:t>中国证券监督管理委员会四川监管局决</w:t>
            </w:r>
            <w:r>
              <w:rPr>
                <w:spacing w:val="8"/>
              </w:rPr>
              <w:t>定对时任董事长,时任总经理王某利、时任</w:t>
            </w:r>
            <w:r>
              <w:rPr/>
              <w:t xml:space="preserve"> </w:t>
            </w:r>
            <w:r>
              <w:rPr>
                <w:spacing w:val="9"/>
              </w:rPr>
              <w:t>董秘张某、时任财务总监王某、</w:t>
            </w:r>
            <w:r>
              <w:rPr>
                <w:spacing w:val="-37"/>
              </w:rPr>
              <w:t xml:space="preserve"> </w:t>
            </w:r>
            <w:r>
              <w:rPr>
                <w:spacing w:val="9"/>
              </w:rPr>
              <w:t>时任董事长刘某宏、时任董事</w:t>
            </w:r>
            <w:r>
              <w:rPr>
                <w:spacing w:val="8"/>
              </w:rPr>
              <w:t>长,时任总经理向某、</w:t>
            </w:r>
            <w:r>
              <w:rPr>
                <w:spacing w:val="-36"/>
              </w:rPr>
              <w:t xml:space="preserve"> </w:t>
            </w:r>
            <w:r>
              <w:rPr>
                <w:spacing w:val="8"/>
              </w:rPr>
              <w:t>时任总经理孙某</w:t>
            </w:r>
            <w:r>
              <w:rPr/>
              <w:t xml:space="preserve"> </w:t>
            </w:r>
            <w:r>
              <w:rPr>
                <w:spacing w:val="7"/>
              </w:rPr>
              <w:t>军、</w:t>
            </w:r>
            <w:r>
              <w:rPr>
                <w:spacing w:val="-37"/>
              </w:rPr>
              <w:t xml:space="preserve"> </w:t>
            </w:r>
            <w:r>
              <w:rPr>
                <w:spacing w:val="7"/>
              </w:rPr>
              <w:t>时任财务总监左某柯、</w:t>
            </w:r>
            <w:r>
              <w:rPr>
                <w:spacing w:val="-37"/>
              </w:rPr>
              <w:t xml:space="preserve"> </w:t>
            </w:r>
            <w:r>
              <w:rPr>
                <w:spacing w:val="7"/>
              </w:rPr>
              <w:t>时任董秘黄某华、</w:t>
            </w:r>
            <w:r>
              <w:rPr>
                <w:spacing w:val="-37"/>
              </w:rPr>
              <w:t xml:space="preserve"> </w:t>
            </w:r>
            <w:r>
              <w:rPr>
                <w:spacing w:val="7"/>
              </w:rPr>
              <w:t>时任董秘李某刚采取出具警示函</w:t>
            </w:r>
            <w:r>
              <w:rPr>
                <w:spacing w:val="6"/>
              </w:rPr>
              <w:t>的行政监管措施， 并</w:t>
            </w:r>
            <w:r>
              <w:rPr/>
              <w:t xml:space="preserve">  </w:t>
            </w:r>
            <w:r>
              <w:rPr>
                <w:spacing w:val="8"/>
              </w:rPr>
              <w:t>计入证券期货市场诚信档案。</w:t>
            </w:r>
          </w:p>
        </w:tc>
      </w:tr>
      <w:tr>
        <w:trPr>
          <w:trHeight w:val="1445" w:hRule="atLeast"/>
        </w:trPr>
        <w:tc>
          <w:tcPr>
            <w:shd w:val="clear" w:fill="B8CCE4"/>
            <w:tcW w:w="1823" w:type="dxa"/>
            <w:vAlign w:val="top"/>
          </w:tcPr>
          <w:p>
            <w:pPr>
              <w:spacing w:line="273" w:lineRule="auto"/>
              <w:rPr>
                <w:rFonts w:ascii="Arial"/>
                <w:sz w:val="21"/>
              </w:rPr>
            </w:pPr>
            <w:r/>
          </w:p>
          <w:p>
            <w:pPr>
              <w:spacing w:line="273" w:lineRule="auto"/>
              <w:rPr>
                <w:rFonts w:ascii="Arial"/>
                <w:sz w:val="21"/>
              </w:rPr>
            </w:pPr>
            <w:r/>
          </w:p>
          <w:p>
            <w:pPr>
              <w:pStyle w:val="TableText"/>
              <w:ind w:left="545"/>
              <w:spacing w:before="86" w:line="179" w:lineRule="auto"/>
              <w:rPr/>
            </w:pPr>
            <w:r>
              <w:rPr>
                <w:spacing w:val="3"/>
              </w:rPr>
              <w:t>601236</w:t>
            </w:r>
          </w:p>
        </w:tc>
        <w:tc>
          <w:tcPr>
            <w:shd w:val="clear" w:fill="B8CCE4"/>
            <w:tcW w:w="1343" w:type="dxa"/>
            <w:vAlign w:val="top"/>
          </w:tcPr>
          <w:p>
            <w:pPr>
              <w:spacing w:line="266" w:lineRule="auto"/>
              <w:rPr>
                <w:rFonts w:ascii="Arial"/>
                <w:sz w:val="21"/>
              </w:rPr>
            </w:pPr>
            <w:r/>
          </w:p>
          <w:p>
            <w:pPr>
              <w:spacing w:line="267" w:lineRule="auto"/>
              <w:rPr>
                <w:rFonts w:ascii="Arial"/>
                <w:sz w:val="21"/>
              </w:rPr>
            </w:pPr>
            <w:r/>
          </w:p>
          <w:p>
            <w:pPr>
              <w:pStyle w:val="TableText"/>
              <w:ind w:left="245"/>
              <w:spacing w:before="85" w:line="189" w:lineRule="auto"/>
              <w:rPr/>
            </w:pPr>
            <w:r>
              <w:rPr>
                <w:spacing w:val="8"/>
              </w:rPr>
              <w:t>红塔证券</w:t>
            </w:r>
          </w:p>
        </w:tc>
        <w:tc>
          <w:tcPr>
            <w:shd w:val="clear" w:fill="B8CCE4"/>
            <w:tcW w:w="6140" w:type="dxa"/>
            <w:vAlign w:val="top"/>
          </w:tcPr>
          <w:p>
            <w:pPr>
              <w:pStyle w:val="TableText"/>
              <w:ind w:left="99" w:right="149" w:firstLine="1"/>
              <w:spacing w:before="82" w:line="251" w:lineRule="auto"/>
              <w:rPr/>
            </w:pPr>
            <w:r>
              <w:rPr>
                <w:spacing w:val="10"/>
              </w:rPr>
              <w:t>未按规定进行红塔证券股份有限公司公司大连会</w:t>
            </w:r>
            <w:r>
              <w:rPr>
                <w:spacing w:val="9"/>
              </w:rPr>
              <w:t>展路证券营业部</w:t>
            </w:r>
            <w:r>
              <w:rPr/>
              <w:t xml:space="preserve"> </w:t>
            </w:r>
            <w:r>
              <w:rPr>
                <w:spacing w:val="7"/>
              </w:rPr>
              <w:t>分支机构负责人</w:t>
            </w:r>
            <w:r>
              <w:rPr>
                <w:b/>
                <w:bCs/>
                <w:spacing w:val="7"/>
              </w:rPr>
              <w:t>任职及免职备案</w:t>
            </w:r>
            <w:r>
              <w:rPr>
                <w:spacing w:val="7"/>
              </w:rPr>
              <w:t>； 未按规定申请换领红塔证券股</w:t>
            </w:r>
            <w:r>
              <w:rPr>
                <w:spacing w:val="12"/>
              </w:rPr>
              <w:t xml:space="preserve"> </w:t>
            </w:r>
            <w:r>
              <w:rPr>
                <w:spacing w:val="10"/>
              </w:rPr>
              <w:t>份有限公司公司大连会展路证券营业部经营</w:t>
            </w:r>
            <w:r>
              <w:rPr>
                <w:b/>
                <w:bCs/>
                <w:spacing w:val="10"/>
              </w:rPr>
              <w:t>证券期货</w:t>
            </w:r>
            <w:r>
              <w:rPr>
                <w:b/>
                <w:bCs/>
                <w:spacing w:val="9"/>
              </w:rPr>
              <w:t>业务许可</w:t>
            </w:r>
          </w:p>
          <w:p>
            <w:pPr>
              <w:pStyle w:val="TableText"/>
              <w:ind w:left="101"/>
              <w:spacing w:before="5" w:line="189" w:lineRule="auto"/>
              <w:rPr/>
            </w:pPr>
            <w:r>
              <w:rPr>
                <w:b/>
                <w:bCs/>
                <w:spacing w:val="2"/>
              </w:rPr>
              <w:t>证。</w:t>
            </w:r>
          </w:p>
        </w:tc>
      </w:tr>
      <w:tr>
        <w:trPr>
          <w:trHeight w:val="724" w:hRule="atLeast"/>
        </w:trPr>
        <w:tc>
          <w:tcPr>
            <w:tcW w:w="9306" w:type="dxa"/>
            <w:vAlign w:val="top"/>
            <w:gridSpan w:val="3"/>
          </w:tcPr>
          <w:p>
            <w:pPr>
              <w:pStyle w:val="TableText"/>
              <w:ind w:left="108" w:right="103" w:firstLine="14"/>
              <w:spacing w:before="39" w:line="236" w:lineRule="auto"/>
              <w:rPr/>
            </w:pPr>
            <w:r>
              <w:rPr>
                <w:b/>
                <w:bCs/>
                <w:spacing w:val="10"/>
              </w:rPr>
              <w:t>【行政监管措施】</w:t>
            </w:r>
            <w:r>
              <w:rPr>
                <w:b/>
                <w:bCs/>
                <w:spacing w:val="-27"/>
              </w:rPr>
              <w:t xml:space="preserve"> </w:t>
            </w:r>
            <w:r>
              <w:rPr>
                <w:spacing w:val="10"/>
              </w:rPr>
              <w:t>中国证券监督管理委员会大连监管局决定对红塔证券股份有限公司公司采取出具</w:t>
            </w:r>
            <w:r>
              <w:rPr/>
              <w:t xml:space="preserve"> </w:t>
            </w:r>
            <w:r>
              <w:rPr>
                <w:spacing w:val="8"/>
              </w:rPr>
              <w:t>警示函的行政监管措施。</w:t>
            </w:r>
          </w:p>
        </w:tc>
      </w:tr>
      <w:tr>
        <w:trPr>
          <w:trHeight w:val="725" w:hRule="atLeast"/>
        </w:trPr>
        <w:tc>
          <w:tcPr>
            <w:shd w:val="clear" w:fill="B8CCE4"/>
            <w:tcW w:w="1823" w:type="dxa"/>
            <w:vAlign w:val="top"/>
          </w:tcPr>
          <w:p>
            <w:pPr>
              <w:pStyle w:val="TableText"/>
              <w:ind w:left="547"/>
              <w:spacing w:before="281" w:line="178" w:lineRule="auto"/>
              <w:rPr/>
            </w:pPr>
            <w:r>
              <w:rPr>
                <w:spacing w:val="3"/>
              </w:rPr>
              <w:t>300227</w:t>
            </w:r>
          </w:p>
        </w:tc>
        <w:tc>
          <w:tcPr>
            <w:shd w:val="clear" w:fill="B8CCE4"/>
            <w:tcW w:w="1343" w:type="dxa"/>
            <w:vAlign w:val="top"/>
          </w:tcPr>
          <w:p>
            <w:pPr>
              <w:pStyle w:val="TableText"/>
              <w:ind w:left="346"/>
              <w:spacing w:before="266" w:line="189" w:lineRule="auto"/>
              <w:rPr/>
            </w:pPr>
            <w:r>
              <w:rPr>
                <w:spacing w:val="9"/>
              </w:rPr>
              <w:t>光韵达</w:t>
            </w:r>
          </w:p>
        </w:tc>
        <w:tc>
          <w:tcPr>
            <w:shd w:val="clear" w:fill="B8CCE4"/>
            <w:tcW w:w="6140" w:type="dxa"/>
            <w:vAlign w:val="top"/>
          </w:tcPr>
          <w:p>
            <w:pPr>
              <w:pStyle w:val="TableText"/>
              <w:ind w:left="99" w:right="103" w:firstLine="2"/>
              <w:spacing w:before="85" w:line="220" w:lineRule="auto"/>
              <w:rPr/>
            </w:pPr>
            <w:r>
              <w:rPr>
                <w:spacing w:val="15"/>
              </w:rPr>
              <w:t>深圳光韵达光电科技股份有限公司2023年度</w:t>
            </w:r>
            <w:r>
              <w:rPr>
                <w:b/>
                <w:bCs/>
                <w:spacing w:val="15"/>
              </w:rPr>
              <w:t>业绩快报</w:t>
            </w:r>
            <w:r>
              <w:rPr>
                <w:spacing w:val="15"/>
              </w:rPr>
              <w:t>披露的财</w:t>
            </w:r>
            <w:r>
              <w:rPr>
                <w:spacing w:val="14"/>
                <w:w w:val="101"/>
              </w:rPr>
              <w:t xml:space="preserve"> </w:t>
            </w:r>
            <w:r>
              <w:rPr>
                <w:spacing w:val="8"/>
              </w:rPr>
              <w:t>务数据不准确。</w:t>
            </w:r>
          </w:p>
        </w:tc>
      </w:tr>
      <w:tr>
        <w:trPr>
          <w:trHeight w:val="724" w:hRule="atLeast"/>
        </w:trPr>
        <w:tc>
          <w:tcPr>
            <w:tcW w:w="9306" w:type="dxa"/>
            <w:vAlign w:val="top"/>
            <w:gridSpan w:val="3"/>
          </w:tcPr>
          <w:p>
            <w:pPr>
              <w:pStyle w:val="TableText"/>
              <w:ind w:left="107" w:right="204" w:firstLine="15"/>
              <w:spacing w:before="41" w:line="235" w:lineRule="auto"/>
              <w:rPr/>
            </w:pPr>
            <w:r>
              <w:rPr>
                <w:b/>
                <w:bCs/>
                <w:spacing w:val="8"/>
              </w:rPr>
              <w:t>【行政监管措施】</w:t>
            </w:r>
            <w:r>
              <w:rPr>
                <w:b/>
                <w:bCs/>
                <w:spacing w:val="-29"/>
              </w:rPr>
              <w:t xml:space="preserve"> </w:t>
            </w:r>
            <w:r>
              <w:rPr>
                <w:spacing w:val="8"/>
              </w:rPr>
              <w:t>中国证券监督管理委员会深圳监管局决定对深圳光</w:t>
            </w:r>
            <w:r>
              <w:rPr>
                <w:spacing w:val="7"/>
              </w:rPr>
              <w:t>韵达光电科技股份有限公司、</w:t>
            </w:r>
            <w:r>
              <w:rPr/>
              <w:t xml:space="preserve"> </w:t>
            </w:r>
            <w:r>
              <w:rPr>
                <w:spacing w:val="9"/>
              </w:rPr>
              <w:t>董事长,总经理侯某洪、财务总监王某采取出具警示函的监管措施。</w:t>
            </w:r>
          </w:p>
        </w:tc>
      </w:tr>
      <w:tr>
        <w:trPr>
          <w:trHeight w:val="724" w:hRule="atLeast"/>
        </w:trPr>
        <w:tc>
          <w:tcPr>
            <w:shd w:val="clear" w:fill="B8CCE4"/>
            <w:tcW w:w="1823" w:type="dxa"/>
            <w:vAlign w:val="top"/>
          </w:tcPr>
          <w:p>
            <w:pPr>
              <w:pStyle w:val="TableText"/>
              <w:ind w:left="547"/>
              <w:spacing w:before="280" w:line="178" w:lineRule="auto"/>
              <w:rPr/>
            </w:pPr>
            <w:r>
              <w:rPr>
                <w:spacing w:val="3"/>
              </w:rPr>
              <w:t>300338</w:t>
            </w:r>
          </w:p>
        </w:tc>
        <w:tc>
          <w:tcPr>
            <w:shd w:val="clear" w:fill="B8CCE4"/>
            <w:tcW w:w="1343" w:type="dxa"/>
            <w:vAlign w:val="top"/>
          </w:tcPr>
          <w:p>
            <w:pPr>
              <w:pStyle w:val="TableText"/>
              <w:ind w:left="290"/>
              <w:spacing w:before="279" w:line="179" w:lineRule="auto"/>
              <w:rPr/>
            </w:pPr>
            <w:r>
              <w:rPr>
                <w:spacing w:val="8"/>
              </w:rPr>
              <w:t>*</w:t>
            </w:r>
            <w:r>
              <w:rPr/>
              <w:t>ST</w:t>
            </w:r>
            <w:r>
              <w:rPr>
                <w:spacing w:val="8"/>
              </w:rPr>
              <w:t>开元</w:t>
            </w:r>
          </w:p>
        </w:tc>
        <w:tc>
          <w:tcPr>
            <w:shd w:val="clear" w:fill="B8CCE4"/>
            <w:tcW w:w="6140" w:type="dxa"/>
            <w:vAlign w:val="top"/>
          </w:tcPr>
          <w:p>
            <w:pPr>
              <w:pStyle w:val="TableText"/>
              <w:ind w:left="101" w:right="103" w:firstLine="1"/>
              <w:spacing w:before="47" w:line="233" w:lineRule="auto"/>
              <w:rPr/>
            </w:pPr>
            <w:r>
              <w:rPr>
                <w:spacing w:val="13"/>
              </w:rPr>
              <w:t>开元教育科技集团股份有限公司在《</w:t>
            </w:r>
            <w:r>
              <w:rPr>
                <w:spacing w:val="-25"/>
              </w:rPr>
              <w:t xml:space="preserve"> </w:t>
            </w:r>
            <w:r>
              <w:rPr>
                <w:spacing w:val="13"/>
              </w:rPr>
              <w:t>2023年度</w:t>
            </w:r>
            <w:r>
              <w:rPr>
                <w:b/>
                <w:bCs/>
                <w:spacing w:val="13"/>
              </w:rPr>
              <w:t>业绩</w:t>
            </w:r>
            <w:r>
              <w:rPr>
                <w:b/>
                <w:bCs/>
                <w:spacing w:val="12"/>
              </w:rPr>
              <w:t>预告</w:t>
            </w:r>
            <w:r>
              <w:rPr>
                <w:spacing w:val="12"/>
              </w:rPr>
              <w:t>》</w:t>
            </w:r>
            <w:r>
              <w:rPr>
                <w:spacing w:val="-17"/>
              </w:rPr>
              <w:t xml:space="preserve"> </w:t>
            </w:r>
            <w:r>
              <w:rPr>
                <w:spacing w:val="12"/>
              </w:rPr>
              <w:t>中披</w:t>
            </w:r>
            <w:r>
              <w:rPr/>
              <w:t xml:space="preserve"> </w:t>
            </w:r>
            <w:r>
              <w:rPr>
                <w:spacing w:val="8"/>
              </w:rPr>
              <w:t>露的预计净利润与2023年经审计的净利润差异较大。</w:t>
            </w:r>
          </w:p>
        </w:tc>
      </w:tr>
      <w:tr>
        <w:trPr>
          <w:trHeight w:val="1085" w:hRule="atLeast"/>
        </w:trPr>
        <w:tc>
          <w:tcPr>
            <w:tcW w:w="9306" w:type="dxa"/>
            <w:vAlign w:val="top"/>
            <w:gridSpan w:val="3"/>
          </w:tcPr>
          <w:p>
            <w:pPr>
              <w:pStyle w:val="TableText"/>
              <w:ind w:left="106" w:right="158" w:firstLine="16"/>
              <w:spacing w:before="45"/>
              <w:jc w:val="both"/>
              <w:rPr/>
            </w:pPr>
            <w:r>
              <w:rPr>
                <w:b/>
                <w:bCs/>
                <w:spacing w:val="9"/>
              </w:rPr>
              <w:t>【行政监管措施】</w:t>
            </w:r>
            <w:r>
              <w:rPr>
                <w:b/>
                <w:bCs/>
                <w:spacing w:val="-29"/>
              </w:rPr>
              <w:t xml:space="preserve"> </w:t>
            </w:r>
            <w:r>
              <w:rPr>
                <w:spacing w:val="9"/>
              </w:rPr>
              <w:t>中国证券监督管理委员会湖南监管局决定对开元教育科技</w:t>
            </w:r>
            <w:r>
              <w:rPr>
                <w:spacing w:val="8"/>
              </w:rPr>
              <w:t>集团股份有限公司及董</w:t>
            </w:r>
            <w:r>
              <w:rPr/>
              <w:t xml:space="preserve"> </w:t>
            </w:r>
            <w:r>
              <w:rPr>
                <w:spacing w:val="8"/>
              </w:rPr>
              <w:t>事长赵某、总经理于某利、财务总监董某才采取出具警示函的行政监管措施， 并记入证券期货市场</w:t>
            </w:r>
            <w:r>
              <w:rPr>
                <w:spacing w:val="13"/>
              </w:rPr>
              <w:t xml:space="preserve"> </w:t>
            </w:r>
            <w:r>
              <w:rPr>
                <w:spacing w:val="6"/>
              </w:rPr>
              <w:t>诚信档案。</w:t>
            </w:r>
          </w:p>
        </w:tc>
      </w:tr>
      <w:tr>
        <w:trPr>
          <w:trHeight w:val="724" w:hRule="atLeast"/>
        </w:trPr>
        <w:tc>
          <w:tcPr>
            <w:shd w:val="clear" w:fill="B8CCE4"/>
            <w:tcW w:w="1823" w:type="dxa"/>
            <w:vAlign w:val="top"/>
          </w:tcPr>
          <w:p>
            <w:pPr>
              <w:pStyle w:val="TableText"/>
              <w:ind w:left="542"/>
              <w:spacing w:before="284" w:line="178" w:lineRule="auto"/>
              <w:rPr/>
            </w:pPr>
            <w:r>
              <w:rPr>
                <w:spacing w:val="3"/>
              </w:rPr>
              <w:t>000923</w:t>
            </w:r>
          </w:p>
        </w:tc>
        <w:tc>
          <w:tcPr>
            <w:shd w:val="clear" w:fill="B8CCE4"/>
            <w:tcW w:w="1343" w:type="dxa"/>
            <w:vAlign w:val="top"/>
          </w:tcPr>
          <w:p>
            <w:pPr>
              <w:pStyle w:val="TableText"/>
              <w:ind w:left="244"/>
              <w:spacing w:before="268" w:line="190" w:lineRule="auto"/>
              <w:rPr/>
            </w:pPr>
            <w:r>
              <w:rPr>
                <w:spacing w:val="8"/>
              </w:rPr>
              <w:t>河钢资源</w:t>
            </w:r>
          </w:p>
        </w:tc>
        <w:tc>
          <w:tcPr>
            <w:shd w:val="clear" w:fill="B8CCE4"/>
            <w:tcW w:w="6140" w:type="dxa"/>
            <w:vAlign w:val="top"/>
          </w:tcPr>
          <w:p>
            <w:pPr>
              <w:pStyle w:val="TableText"/>
              <w:ind w:left="100" w:right="105"/>
              <w:spacing w:before="87" w:line="219" w:lineRule="auto"/>
              <w:rPr/>
            </w:pPr>
            <w:r>
              <w:rPr>
                <w:spacing w:val="9"/>
              </w:rPr>
              <w:t>河钢集团有限公司保证上市公司</w:t>
            </w:r>
            <w:r>
              <w:rPr>
                <w:b/>
                <w:bCs/>
                <w:spacing w:val="9"/>
              </w:rPr>
              <w:t>独立性的承诺</w:t>
            </w:r>
            <w:r>
              <w:rPr>
                <w:spacing w:val="9"/>
              </w:rPr>
              <w:t>履行不到位</w:t>
            </w:r>
            <w:r>
              <w:rPr>
                <w:spacing w:val="8"/>
              </w:rPr>
              <w:t>； 河钢</w:t>
            </w:r>
            <w:r>
              <w:rPr/>
              <w:t xml:space="preserve"> </w:t>
            </w:r>
            <w:r>
              <w:rPr>
                <w:spacing w:val="9"/>
              </w:rPr>
              <w:t>集团有限公司</w:t>
            </w:r>
            <w:r>
              <w:rPr>
                <w:b/>
                <w:bCs/>
                <w:spacing w:val="9"/>
              </w:rPr>
              <w:t>避免同业竞争的承诺</w:t>
            </w:r>
            <w:r>
              <w:rPr>
                <w:spacing w:val="9"/>
              </w:rPr>
              <w:t>履行不到位。</w:t>
            </w:r>
          </w:p>
        </w:tc>
      </w:tr>
      <w:tr>
        <w:trPr>
          <w:trHeight w:val="725" w:hRule="atLeast"/>
        </w:trPr>
        <w:tc>
          <w:tcPr>
            <w:tcW w:w="9306" w:type="dxa"/>
            <w:vAlign w:val="top"/>
            <w:gridSpan w:val="3"/>
          </w:tcPr>
          <w:p>
            <w:pPr>
              <w:pStyle w:val="TableText"/>
              <w:ind w:left="106" w:right="158" w:firstLine="16"/>
              <w:spacing w:before="48" w:line="233" w:lineRule="auto"/>
              <w:rPr/>
            </w:pPr>
            <w:r>
              <w:rPr>
                <w:b/>
                <w:bCs/>
                <w:spacing w:val="9"/>
              </w:rPr>
              <w:t>【行政监管措施】</w:t>
            </w:r>
            <w:r>
              <w:rPr>
                <w:b/>
                <w:bCs/>
                <w:spacing w:val="-29"/>
              </w:rPr>
              <w:t xml:space="preserve"> </w:t>
            </w:r>
            <w:r>
              <w:rPr>
                <w:spacing w:val="9"/>
              </w:rPr>
              <w:t>中国证券监督管理委员会河北监管局决定对河钢集团有限</w:t>
            </w:r>
            <w:r>
              <w:rPr>
                <w:spacing w:val="8"/>
              </w:rPr>
              <w:t>公司采取出具警示函的</w:t>
            </w:r>
            <w:r>
              <w:rPr/>
              <w:t xml:space="preserve"> </w:t>
            </w:r>
            <w:r>
              <w:rPr>
                <w:spacing w:val="7"/>
              </w:rPr>
              <w:t>行政监管措施。</w:t>
            </w:r>
          </w:p>
        </w:tc>
      </w:tr>
      <w:tr>
        <w:trPr>
          <w:trHeight w:val="724" w:hRule="atLeast"/>
        </w:trPr>
        <w:tc>
          <w:tcPr>
            <w:shd w:val="clear" w:fill="B8CCE4"/>
            <w:tcW w:w="1823" w:type="dxa"/>
            <w:vAlign w:val="top"/>
          </w:tcPr>
          <w:p>
            <w:pPr>
              <w:pStyle w:val="TableText"/>
              <w:ind w:left="547"/>
              <w:spacing w:before="286" w:line="178" w:lineRule="auto"/>
              <w:rPr/>
            </w:pPr>
            <w:r>
              <w:rPr>
                <w:spacing w:val="3"/>
              </w:rPr>
              <w:t>300730</w:t>
            </w:r>
          </w:p>
        </w:tc>
        <w:tc>
          <w:tcPr>
            <w:shd w:val="clear" w:fill="B8CCE4"/>
            <w:tcW w:w="1343" w:type="dxa"/>
            <w:vAlign w:val="top"/>
          </w:tcPr>
          <w:p>
            <w:pPr>
              <w:pStyle w:val="TableText"/>
              <w:ind w:left="243"/>
              <w:spacing w:before="271" w:line="189" w:lineRule="auto"/>
              <w:rPr/>
            </w:pPr>
            <w:r>
              <w:rPr>
                <w:spacing w:val="8"/>
              </w:rPr>
              <w:t>科创信息</w:t>
            </w:r>
          </w:p>
        </w:tc>
        <w:tc>
          <w:tcPr>
            <w:shd w:val="clear" w:fill="B8CCE4"/>
            <w:tcW w:w="6140" w:type="dxa"/>
            <w:vAlign w:val="top"/>
          </w:tcPr>
          <w:p>
            <w:pPr>
              <w:pStyle w:val="TableText"/>
              <w:ind w:left="100" w:right="103"/>
              <w:spacing w:before="53" w:line="231" w:lineRule="auto"/>
              <w:rPr/>
            </w:pPr>
            <w:r>
              <w:rPr>
                <w:spacing w:val="13"/>
              </w:rPr>
              <w:t>湖南科创信息技术股份有限公司在《</w:t>
            </w:r>
            <w:r>
              <w:rPr>
                <w:spacing w:val="-24"/>
              </w:rPr>
              <w:t xml:space="preserve"> </w:t>
            </w:r>
            <w:r>
              <w:rPr>
                <w:spacing w:val="13"/>
              </w:rPr>
              <w:t>2023年度</w:t>
            </w:r>
            <w:r>
              <w:rPr>
                <w:b/>
                <w:bCs/>
                <w:spacing w:val="13"/>
              </w:rPr>
              <w:t>业绩预</w:t>
            </w:r>
            <w:r>
              <w:rPr>
                <w:b/>
                <w:bCs/>
                <w:spacing w:val="12"/>
              </w:rPr>
              <w:t>告</w:t>
            </w:r>
            <w:r>
              <w:rPr>
                <w:spacing w:val="12"/>
              </w:rPr>
              <w:t>》</w:t>
            </w:r>
            <w:r>
              <w:rPr>
                <w:spacing w:val="-17"/>
              </w:rPr>
              <w:t xml:space="preserve"> </w:t>
            </w:r>
            <w:r>
              <w:rPr>
                <w:spacing w:val="12"/>
              </w:rPr>
              <w:t>中披</w:t>
            </w:r>
            <w:r>
              <w:rPr/>
              <w:t xml:space="preserve"> </w:t>
            </w:r>
            <w:r>
              <w:rPr>
                <w:spacing w:val="8"/>
              </w:rPr>
              <w:t>露的预计净利润与2023年经审计的净利润差异较大。</w:t>
            </w:r>
          </w:p>
        </w:tc>
      </w:tr>
      <w:tr>
        <w:trPr>
          <w:trHeight w:val="1085" w:hRule="atLeast"/>
        </w:trPr>
        <w:tc>
          <w:tcPr>
            <w:tcW w:w="9306" w:type="dxa"/>
            <w:vAlign w:val="top"/>
            <w:gridSpan w:val="3"/>
          </w:tcPr>
          <w:p>
            <w:pPr>
              <w:pStyle w:val="TableText"/>
              <w:ind w:left="106" w:right="158" w:firstLine="16"/>
              <w:spacing w:before="49" w:line="239" w:lineRule="auto"/>
              <w:rPr/>
            </w:pPr>
            <w:r>
              <w:rPr>
                <w:b/>
                <w:bCs/>
                <w:spacing w:val="9"/>
              </w:rPr>
              <w:t>【行政监管措施</w:t>
            </w:r>
            <w:r>
              <w:rPr>
                <w:spacing w:val="9"/>
              </w:rPr>
              <w:t>】</w:t>
            </w:r>
            <w:r>
              <w:rPr>
                <w:spacing w:val="-29"/>
              </w:rPr>
              <w:t xml:space="preserve"> </w:t>
            </w:r>
            <w:r>
              <w:rPr>
                <w:spacing w:val="9"/>
              </w:rPr>
              <w:t>中国证券监督管理委员会湖南监管局决定对湖南科创信息</w:t>
            </w:r>
            <w:r>
              <w:rPr>
                <w:spacing w:val="8"/>
              </w:rPr>
              <w:t>技术股份有限公司及董</w:t>
            </w:r>
            <w:r>
              <w:rPr/>
              <w:t xml:space="preserve"> </w:t>
            </w:r>
            <w:r>
              <w:rPr>
                <w:spacing w:val="8"/>
              </w:rPr>
              <w:t>事长费某平、财务总监,总经理李某采取出具警示函的行政监管措施， 并记入证券期货市场诚信档</w:t>
            </w:r>
            <w:r>
              <w:rPr/>
              <w:t xml:space="preserve">    </w:t>
            </w:r>
            <w:r>
              <w:rPr>
                <w:spacing w:val="2"/>
              </w:rPr>
              <w:t>案。</w:t>
            </w:r>
          </w:p>
        </w:tc>
      </w:tr>
      <w:tr>
        <w:trPr>
          <w:trHeight w:val="724" w:hRule="atLeast"/>
        </w:trPr>
        <w:tc>
          <w:tcPr>
            <w:shd w:val="clear" w:fill="B8CCE4"/>
            <w:tcW w:w="1823" w:type="dxa"/>
            <w:vAlign w:val="top"/>
          </w:tcPr>
          <w:p>
            <w:pPr>
              <w:pStyle w:val="TableText"/>
              <w:ind w:left="547"/>
              <w:spacing w:before="288" w:line="178" w:lineRule="auto"/>
              <w:rPr/>
            </w:pPr>
            <w:r>
              <w:rPr>
                <w:spacing w:val="3"/>
              </w:rPr>
              <w:t>300490</w:t>
            </w:r>
          </w:p>
        </w:tc>
        <w:tc>
          <w:tcPr>
            <w:shd w:val="clear" w:fill="B8CCE4"/>
            <w:tcW w:w="1343" w:type="dxa"/>
            <w:vAlign w:val="top"/>
          </w:tcPr>
          <w:p>
            <w:pPr>
              <w:pStyle w:val="TableText"/>
              <w:ind w:left="245"/>
              <w:spacing w:before="273" w:line="189" w:lineRule="auto"/>
              <w:rPr/>
            </w:pPr>
            <w:r>
              <w:rPr>
                <w:spacing w:val="8"/>
              </w:rPr>
              <w:t>华自科技</w:t>
            </w:r>
          </w:p>
        </w:tc>
        <w:tc>
          <w:tcPr>
            <w:shd w:val="clear" w:fill="B8CCE4"/>
            <w:tcW w:w="6140" w:type="dxa"/>
            <w:vAlign w:val="top"/>
          </w:tcPr>
          <w:p>
            <w:pPr>
              <w:pStyle w:val="TableText"/>
              <w:ind w:left="104" w:right="285" w:hanging="2"/>
              <w:spacing w:before="53" w:line="231" w:lineRule="auto"/>
              <w:rPr/>
            </w:pPr>
            <w:r>
              <w:rPr>
                <w:spacing w:val="7"/>
              </w:rPr>
              <w:t>华自科技股份有限公司在《</w:t>
            </w:r>
            <w:r>
              <w:rPr>
                <w:spacing w:val="-24"/>
              </w:rPr>
              <w:t xml:space="preserve"> </w:t>
            </w:r>
            <w:r>
              <w:rPr>
                <w:spacing w:val="7"/>
              </w:rPr>
              <w:t>2023年度</w:t>
            </w:r>
            <w:r>
              <w:rPr>
                <w:b/>
                <w:bCs/>
                <w:spacing w:val="7"/>
              </w:rPr>
              <w:t>业绩预告</w:t>
            </w:r>
            <w:r>
              <w:rPr>
                <w:spacing w:val="7"/>
              </w:rPr>
              <w:t>》</w:t>
            </w:r>
            <w:r>
              <w:rPr>
                <w:spacing w:val="-31"/>
              </w:rPr>
              <w:t xml:space="preserve"> </w:t>
            </w:r>
            <w:r>
              <w:rPr>
                <w:spacing w:val="7"/>
              </w:rPr>
              <w:t>中披露的预计</w:t>
            </w:r>
            <w:r>
              <w:rPr/>
              <w:t xml:space="preserve"> </w:t>
            </w:r>
            <w:r>
              <w:rPr>
                <w:spacing w:val="8"/>
              </w:rPr>
              <w:t>净利润与2023年经审计的净利润差异较大。</w:t>
            </w:r>
          </w:p>
        </w:tc>
      </w:tr>
      <w:tr>
        <w:trPr>
          <w:trHeight w:val="1085" w:hRule="atLeast"/>
        </w:trPr>
        <w:tc>
          <w:tcPr>
            <w:tcW w:w="9306" w:type="dxa"/>
            <w:vAlign w:val="top"/>
            <w:gridSpan w:val="3"/>
          </w:tcPr>
          <w:p>
            <w:pPr>
              <w:pStyle w:val="TableText"/>
              <w:ind w:left="106" w:right="103" w:firstLine="16"/>
              <w:spacing w:before="54" w:line="238" w:lineRule="auto"/>
              <w:jc w:val="both"/>
              <w:rPr/>
            </w:pPr>
            <w:r>
              <w:rPr>
                <w:b/>
                <w:bCs/>
                <w:spacing w:val="10"/>
              </w:rPr>
              <w:t>【行政监管措施】</w:t>
            </w:r>
            <w:r>
              <w:rPr>
                <w:b/>
                <w:bCs/>
                <w:spacing w:val="-27"/>
              </w:rPr>
              <w:t xml:space="preserve"> </w:t>
            </w:r>
            <w:r>
              <w:rPr>
                <w:spacing w:val="10"/>
              </w:rPr>
              <w:t>中国证券监督管理委员会湖南监管局决定对华自科技股份有限公司及董事长黄某</w:t>
            </w:r>
            <w:r>
              <w:rPr/>
              <w:t xml:space="preserve"> </w:t>
            </w:r>
            <w:r>
              <w:rPr>
                <w:spacing w:val="10"/>
              </w:rPr>
              <w:t>宝、总经理余某鲋、财务总监陈某飞采取出具警示函的</w:t>
            </w:r>
            <w:r>
              <w:rPr>
                <w:spacing w:val="9"/>
              </w:rPr>
              <w:t>行政监管措施， 并记入证券期货市场诚信档</w:t>
            </w:r>
            <w:r>
              <w:rPr/>
              <w:t xml:space="preserve"> </w:t>
            </w:r>
            <w:r>
              <w:rPr>
                <w:spacing w:val="2"/>
              </w:rPr>
              <w:t>案。</w:t>
            </w:r>
          </w:p>
        </w:tc>
      </w:tr>
      <w:tr>
        <w:trPr>
          <w:trHeight w:val="365" w:hRule="atLeast"/>
        </w:trPr>
        <w:tc>
          <w:tcPr>
            <w:shd w:val="clear" w:fill="B8CCE4"/>
            <w:tcW w:w="1823" w:type="dxa"/>
            <w:vAlign w:val="top"/>
          </w:tcPr>
          <w:p>
            <w:pPr>
              <w:pStyle w:val="TableText"/>
              <w:ind w:left="542"/>
              <w:spacing w:before="111" w:line="170" w:lineRule="auto"/>
              <w:rPr/>
            </w:pPr>
            <w:r>
              <w:rPr>
                <w:spacing w:val="3"/>
              </w:rPr>
              <w:t>002628</w:t>
            </w:r>
          </w:p>
        </w:tc>
        <w:tc>
          <w:tcPr>
            <w:shd w:val="clear" w:fill="B8CCE4"/>
            <w:tcW w:w="1343" w:type="dxa"/>
            <w:vAlign w:val="top"/>
          </w:tcPr>
          <w:p>
            <w:pPr>
              <w:pStyle w:val="TableText"/>
              <w:ind w:left="242"/>
              <w:spacing w:before="97" w:line="180" w:lineRule="auto"/>
              <w:rPr/>
            </w:pPr>
            <w:r>
              <w:rPr>
                <w:spacing w:val="9"/>
              </w:rPr>
              <w:t>成都路桥</w:t>
            </w:r>
          </w:p>
        </w:tc>
        <w:tc>
          <w:tcPr>
            <w:shd w:val="clear" w:fill="B8CCE4"/>
            <w:tcW w:w="6140" w:type="dxa"/>
            <w:vAlign w:val="top"/>
          </w:tcPr>
          <w:p>
            <w:pPr>
              <w:pStyle w:val="TableText"/>
              <w:ind w:left="100"/>
              <w:spacing w:before="97" w:line="180" w:lineRule="auto"/>
              <w:rPr/>
            </w:pPr>
            <w:r>
              <w:rPr>
                <w:b/>
                <w:bCs/>
                <w:spacing w:val="7"/>
              </w:rPr>
              <w:t>信托理财</w:t>
            </w:r>
            <w:r>
              <w:rPr>
                <w:spacing w:val="7"/>
              </w:rPr>
              <w:t>相关信息披露违规； 股东大会</w:t>
            </w:r>
            <w:r>
              <w:rPr>
                <w:b/>
                <w:bCs/>
                <w:spacing w:val="7"/>
              </w:rPr>
              <w:t>会议记</w:t>
            </w:r>
            <w:r>
              <w:rPr>
                <w:b/>
                <w:bCs/>
                <w:spacing w:val="6"/>
              </w:rPr>
              <w:t>录</w:t>
            </w:r>
            <w:r>
              <w:rPr>
                <w:spacing w:val="6"/>
              </w:rPr>
              <w:t>不规范。</w:t>
            </w:r>
          </w:p>
        </w:tc>
      </w:tr>
      <w:tr>
        <w:trPr>
          <w:trHeight w:val="726" w:hRule="atLeast"/>
        </w:trPr>
        <w:tc>
          <w:tcPr>
            <w:tcW w:w="9306" w:type="dxa"/>
            <w:vAlign w:val="top"/>
            <w:gridSpan w:val="3"/>
          </w:tcPr>
          <w:p>
            <w:pPr>
              <w:pStyle w:val="TableText"/>
              <w:ind w:left="105" w:right="158" w:firstLine="18"/>
              <w:spacing w:before="52" w:line="232" w:lineRule="auto"/>
              <w:rPr/>
            </w:pPr>
            <w:r>
              <w:rPr>
                <w:b/>
                <w:bCs/>
                <w:spacing w:val="9"/>
              </w:rPr>
              <w:t>【行政监管措施】</w:t>
            </w:r>
            <w:r>
              <w:rPr>
                <w:b/>
                <w:bCs/>
                <w:spacing w:val="-29"/>
              </w:rPr>
              <w:t xml:space="preserve"> </w:t>
            </w:r>
            <w:r>
              <w:rPr>
                <w:spacing w:val="9"/>
              </w:rPr>
              <w:t>中国证券监督管理委员会四川监管局决定对成都路桥采取</w:t>
            </w:r>
            <w:r>
              <w:rPr>
                <w:spacing w:val="8"/>
              </w:rPr>
              <w:t>责令改正的行政监管措</w:t>
            </w:r>
            <w:r>
              <w:rPr/>
              <w:t xml:space="preserve"> </w:t>
            </w:r>
            <w:r>
              <w:rPr>
                <w:spacing w:val="5"/>
              </w:rPr>
              <w:t>施， 并计入证券期货市场诚信档案。</w:t>
            </w:r>
          </w:p>
        </w:tc>
      </w:tr>
      <w:tr>
        <w:trPr>
          <w:trHeight w:val="1092" w:hRule="atLeast"/>
        </w:trPr>
        <w:tc>
          <w:tcPr>
            <w:shd w:val="clear" w:fill="B8CCE4"/>
            <w:tcW w:w="1823" w:type="dxa"/>
            <w:vAlign w:val="top"/>
          </w:tcPr>
          <w:p>
            <w:pPr>
              <w:spacing w:line="381" w:lineRule="auto"/>
              <w:rPr>
                <w:rFonts w:ascii="Arial"/>
                <w:sz w:val="21"/>
              </w:rPr>
            </w:pPr>
            <w:r/>
          </w:p>
          <w:p>
            <w:pPr>
              <w:pStyle w:val="TableText"/>
              <w:ind w:left="542"/>
              <w:spacing w:before="86" w:line="178" w:lineRule="auto"/>
              <w:rPr/>
            </w:pPr>
            <w:r>
              <w:rPr>
                <w:spacing w:val="3"/>
              </w:rPr>
              <w:t>002945</w:t>
            </w:r>
          </w:p>
        </w:tc>
        <w:tc>
          <w:tcPr>
            <w:shd w:val="clear" w:fill="B8CCE4"/>
            <w:tcW w:w="1343" w:type="dxa"/>
            <w:vAlign w:val="top"/>
          </w:tcPr>
          <w:p>
            <w:pPr>
              <w:spacing w:line="367" w:lineRule="auto"/>
              <w:rPr>
                <w:rFonts w:ascii="Arial"/>
                <w:sz w:val="21"/>
              </w:rPr>
            </w:pPr>
            <w:r/>
          </w:p>
          <w:p>
            <w:pPr>
              <w:pStyle w:val="TableText"/>
              <w:ind w:left="245"/>
              <w:spacing w:before="85" w:line="189" w:lineRule="auto"/>
              <w:rPr/>
            </w:pPr>
            <w:r>
              <w:rPr>
                <w:spacing w:val="8"/>
              </w:rPr>
              <w:t>华林证券</w:t>
            </w:r>
          </w:p>
        </w:tc>
        <w:tc>
          <w:tcPr>
            <w:shd w:val="clear" w:fill="B8CCE4"/>
            <w:tcW w:w="6140" w:type="dxa"/>
            <w:vAlign w:val="top"/>
          </w:tcPr>
          <w:p>
            <w:pPr>
              <w:pStyle w:val="TableText"/>
              <w:ind w:left="101" w:right="103" w:firstLine="4"/>
              <w:spacing w:before="95" w:line="230" w:lineRule="auto"/>
              <w:jc w:val="both"/>
              <w:rPr/>
            </w:pPr>
            <w:r>
              <w:rPr>
                <w:spacing w:val="6"/>
              </w:rPr>
              <w:t>月度风险控制指标监管报表填报不准确， 风控指标超标； 业务数</w:t>
            </w:r>
            <w:r>
              <w:rPr>
                <w:spacing w:val="16"/>
              </w:rPr>
              <w:t xml:space="preserve"> </w:t>
            </w:r>
            <w:r>
              <w:rPr>
                <w:spacing w:val="7"/>
              </w:rPr>
              <w:t>据报送不准确； 多份情况说明前后不一致；</w:t>
            </w:r>
            <w:r>
              <w:rPr>
                <w:spacing w:val="6"/>
              </w:rPr>
              <w:t xml:space="preserve"> 人员任免及执业资格</w:t>
            </w:r>
            <w:r>
              <w:rPr/>
              <w:t xml:space="preserve"> </w:t>
            </w:r>
            <w:r>
              <w:rPr>
                <w:spacing w:val="8"/>
              </w:rPr>
              <w:t>管理存在明显漏洞。</w:t>
            </w:r>
          </w:p>
        </w:tc>
      </w:tr>
    </w:tbl>
    <w:p>
      <w:pPr>
        <w:pStyle w:val="BodyText"/>
        <w:rPr/>
      </w:pPr>
      <w:r/>
    </w:p>
    <w:p>
      <w:pPr>
        <w:sectPr>
          <w:pgSz w:w="11910" w:h="16840"/>
          <w:pgMar w:top="400" w:right="1394" w:bottom="0" w:left="1194" w:header="0" w:footer="0" w:gutter="0"/>
        </w:sectPr>
        <w:rPr/>
      </w:pPr>
    </w:p>
    <w:tbl>
      <w:tblPr>
        <w:tblStyle w:val="TableNormal"/>
        <w:tblW w:w="9306" w:type="dxa"/>
        <w:tblInd w:w="444"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823"/>
        <w:gridCol w:w="1343"/>
        <w:gridCol w:w="6140"/>
      </w:tblGrid>
      <w:tr>
        <w:trPr>
          <w:trHeight w:val="1103" w:hRule="atLeast"/>
        </w:trPr>
        <w:tc>
          <w:tcPr>
            <w:tcW w:w="9306" w:type="dxa"/>
            <w:vAlign w:val="top"/>
            <w:gridSpan w:val="3"/>
            <w:tcBorders>
              <w:top w:val="single" w:color="FFFFFF" w:sz="2" w:space="0"/>
            </w:tcBorders>
          </w:tcPr>
          <w:p>
            <w:pPr>
              <w:pStyle w:val="TableText"/>
              <w:ind w:left="104" w:right="158" w:firstLine="19"/>
              <w:spacing w:before="59" w:line="241" w:lineRule="auto"/>
              <w:jc w:val="both"/>
              <w:rPr/>
            </w:pPr>
            <w:r>
              <w:rPr>
                <w:b/>
                <w:bCs/>
                <w:spacing w:val="9"/>
              </w:rPr>
              <w:t>【行政监管措施】</w:t>
            </w:r>
            <w:r>
              <w:rPr>
                <w:b/>
                <w:bCs/>
                <w:spacing w:val="-29"/>
              </w:rPr>
              <w:t xml:space="preserve"> </w:t>
            </w:r>
            <w:r>
              <w:rPr>
                <w:spacing w:val="9"/>
              </w:rPr>
              <w:t>中国证券监督管理委员会西藏监管局决定对华林证券股份</w:t>
            </w:r>
            <w:r>
              <w:rPr>
                <w:spacing w:val="8"/>
              </w:rPr>
              <w:t>有限公司采取责令限期</w:t>
            </w:r>
            <w:r>
              <w:rPr/>
              <w:t xml:space="preserve"> </w:t>
            </w:r>
            <w:r>
              <w:rPr>
                <w:spacing w:val="8"/>
              </w:rPr>
              <w:t>改正、责令增加内部合规检查的次数并提交合规检查报告的监督管理措施， 记入证券期货市场诚信</w:t>
            </w:r>
            <w:r>
              <w:rPr>
                <w:spacing w:val="15"/>
                <w:w w:val="101"/>
              </w:rPr>
              <w:t xml:space="preserve"> </w:t>
            </w:r>
            <w:r>
              <w:rPr>
                <w:spacing w:val="5"/>
              </w:rPr>
              <w:t>档案。</w:t>
            </w:r>
          </w:p>
        </w:tc>
      </w:tr>
      <w:tr>
        <w:trPr>
          <w:trHeight w:val="723" w:hRule="atLeast"/>
        </w:trPr>
        <w:tc>
          <w:tcPr>
            <w:shd w:val="clear" w:fill="B8CCE4"/>
            <w:tcW w:w="1823" w:type="dxa"/>
            <w:vAlign w:val="top"/>
          </w:tcPr>
          <w:p>
            <w:pPr>
              <w:pStyle w:val="TableText"/>
              <w:ind w:left="542"/>
              <w:spacing w:before="276" w:line="178" w:lineRule="auto"/>
              <w:rPr/>
            </w:pPr>
            <w:r>
              <w:rPr>
                <w:spacing w:val="3"/>
              </w:rPr>
              <w:t>002945</w:t>
            </w:r>
          </w:p>
        </w:tc>
        <w:tc>
          <w:tcPr>
            <w:shd w:val="clear" w:fill="B8CCE4"/>
            <w:tcW w:w="1343" w:type="dxa"/>
            <w:vAlign w:val="top"/>
          </w:tcPr>
          <w:p>
            <w:pPr>
              <w:pStyle w:val="TableText"/>
              <w:ind w:left="245"/>
              <w:spacing w:before="261" w:line="189" w:lineRule="auto"/>
              <w:rPr/>
            </w:pPr>
            <w:r>
              <w:rPr>
                <w:spacing w:val="8"/>
              </w:rPr>
              <w:t>华林证券</w:t>
            </w:r>
          </w:p>
        </w:tc>
        <w:tc>
          <w:tcPr>
            <w:shd w:val="clear" w:fill="B8CCE4"/>
            <w:tcW w:w="6140" w:type="dxa"/>
            <w:vAlign w:val="top"/>
          </w:tcPr>
          <w:p>
            <w:pPr>
              <w:pStyle w:val="TableText"/>
              <w:ind w:left="99" w:right="103" w:firstLine="3"/>
              <w:spacing w:before="83" w:line="220" w:lineRule="auto"/>
              <w:rPr/>
            </w:pPr>
            <w:r>
              <w:rPr>
                <w:spacing w:val="11"/>
              </w:rPr>
              <w:t>华林证券股份有限公司存在月度风险控制指标监管报表填报不准</w:t>
            </w:r>
            <w:r>
              <w:rPr>
                <w:spacing w:val="9"/>
              </w:rPr>
              <w:t xml:space="preserve"> </w:t>
            </w:r>
            <w:r>
              <w:rPr>
                <w:spacing w:val="8"/>
              </w:rPr>
              <w:t>确、风控指标超标等问题。</w:t>
            </w:r>
          </w:p>
        </w:tc>
      </w:tr>
      <w:tr>
        <w:trPr>
          <w:trHeight w:val="724" w:hRule="atLeast"/>
        </w:trPr>
        <w:tc>
          <w:tcPr>
            <w:tcW w:w="9306" w:type="dxa"/>
            <w:vAlign w:val="top"/>
            <w:gridSpan w:val="3"/>
          </w:tcPr>
          <w:p>
            <w:pPr>
              <w:pStyle w:val="TableText"/>
              <w:ind w:left="110" w:right="158" w:firstLine="12"/>
              <w:spacing w:before="44" w:line="234" w:lineRule="auto"/>
              <w:rPr/>
            </w:pPr>
            <w:r>
              <w:rPr>
                <w:b/>
                <w:bCs/>
                <w:spacing w:val="7"/>
              </w:rPr>
              <w:t>【行政监管措施】</w:t>
            </w:r>
            <w:r>
              <w:rPr>
                <w:b/>
                <w:bCs/>
                <w:spacing w:val="-19"/>
              </w:rPr>
              <w:t xml:space="preserve"> </w:t>
            </w:r>
            <w:r>
              <w:rPr>
                <w:spacing w:val="7"/>
              </w:rPr>
              <w:t>中国证券监督管理委员会西藏监管局决定通过西藏证监局官网， 对从业人员林某</w:t>
            </w:r>
            <w:r>
              <w:rPr/>
              <w:t xml:space="preserve"> </w:t>
            </w:r>
            <w:r>
              <w:rPr>
                <w:spacing w:val="5"/>
              </w:rPr>
              <w:t>予以公开谴责， 记入证券期货市场诚信档案。</w:t>
            </w:r>
          </w:p>
        </w:tc>
      </w:tr>
      <w:tr>
        <w:trPr>
          <w:trHeight w:val="723" w:hRule="atLeast"/>
        </w:trPr>
        <w:tc>
          <w:tcPr>
            <w:shd w:val="clear" w:fill="B8CCE4"/>
            <w:tcW w:w="1823" w:type="dxa"/>
            <w:vAlign w:val="top"/>
          </w:tcPr>
          <w:p>
            <w:pPr>
              <w:pStyle w:val="TableText"/>
              <w:ind w:left="547"/>
              <w:spacing w:before="280" w:line="179" w:lineRule="auto"/>
              <w:rPr/>
            </w:pPr>
            <w:r>
              <w:rPr>
                <w:spacing w:val="3"/>
              </w:rPr>
              <w:t>301379</w:t>
            </w:r>
          </w:p>
        </w:tc>
        <w:tc>
          <w:tcPr>
            <w:shd w:val="clear" w:fill="B8CCE4"/>
            <w:tcW w:w="1343" w:type="dxa"/>
            <w:vAlign w:val="top"/>
          </w:tcPr>
          <w:p>
            <w:pPr>
              <w:pStyle w:val="TableText"/>
              <w:ind w:left="244"/>
              <w:spacing w:before="269" w:line="188" w:lineRule="auto"/>
              <w:rPr/>
            </w:pPr>
            <w:r>
              <w:rPr>
                <w:spacing w:val="8"/>
              </w:rPr>
              <w:t>天山电子</w:t>
            </w:r>
          </w:p>
        </w:tc>
        <w:tc>
          <w:tcPr>
            <w:shd w:val="clear" w:fill="B8CCE4"/>
            <w:tcW w:w="6140" w:type="dxa"/>
            <w:vAlign w:val="top"/>
          </w:tcPr>
          <w:p>
            <w:pPr>
              <w:pStyle w:val="TableText"/>
              <w:ind w:left="101"/>
              <w:spacing w:before="86" w:line="190" w:lineRule="auto"/>
              <w:rPr/>
            </w:pPr>
            <w:r>
              <w:rPr>
                <w:spacing w:val="27"/>
              </w:rPr>
              <w:t>一个月内集中竞价减持股份占天山电子股份总数的比例达到</w:t>
            </w:r>
          </w:p>
          <w:p>
            <w:pPr>
              <w:pStyle w:val="TableText"/>
              <w:ind w:left="117"/>
              <w:spacing w:before="46" w:line="216" w:lineRule="auto"/>
              <w:rPr/>
            </w:pPr>
            <w:r>
              <w:rPr>
                <w:b/>
                <w:bCs/>
                <w:spacing w:val="1"/>
              </w:rPr>
              <w:t>1.07%。</w:t>
            </w:r>
          </w:p>
        </w:tc>
      </w:tr>
      <w:tr>
        <w:trPr>
          <w:trHeight w:val="1083" w:hRule="atLeast"/>
        </w:trPr>
        <w:tc>
          <w:tcPr>
            <w:tcW w:w="9306" w:type="dxa"/>
            <w:vAlign w:val="top"/>
            <w:gridSpan w:val="3"/>
          </w:tcPr>
          <w:p>
            <w:pPr>
              <w:pStyle w:val="TableText"/>
              <w:ind w:left="106" w:right="158" w:firstLine="17"/>
              <w:spacing w:before="43"/>
              <w:rPr/>
            </w:pPr>
            <w:r>
              <w:rPr>
                <w:b/>
                <w:bCs/>
                <w:spacing w:val="9"/>
              </w:rPr>
              <w:t>【行政监管措施</w:t>
            </w:r>
            <w:r>
              <w:rPr>
                <w:spacing w:val="9"/>
              </w:rPr>
              <w:t>】</w:t>
            </w:r>
            <w:r>
              <w:rPr>
                <w:spacing w:val="-31"/>
              </w:rPr>
              <w:t xml:space="preserve"> </w:t>
            </w:r>
            <w:r>
              <w:rPr>
                <w:spacing w:val="9"/>
              </w:rPr>
              <w:t>中国证券监督管理委员会广西监管局</w:t>
            </w:r>
            <w:r>
              <w:rPr>
                <w:spacing w:val="8"/>
              </w:rPr>
              <w:t>决定对深圳市中金蓝海资产管理有限公司、</w:t>
            </w:r>
            <w:r>
              <w:rPr/>
              <w:t xml:space="preserve"> </w:t>
            </w:r>
            <w:r>
              <w:rPr>
                <w:spacing w:val="8"/>
              </w:rPr>
              <w:t>李某勇采取责令购回违规减持股份并向上市公司上缴价差的行政监管措施， 并记入证券期货市场诚</w:t>
            </w:r>
            <w:r>
              <w:rPr>
                <w:spacing w:val="13"/>
              </w:rPr>
              <w:t xml:space="preserve"> </w:t>
            </w:r>
            <w:r>
              <w:rPr>
                <w:spacing w:val="6"/>
              </w:rPr>
              <w:t>信档案。</w:t>
            </w:r>
          </w:p>
        </w:tc>
      </w:tr>
      <w:tr>
        <w:trPr>
          <w:trHeight w:val="364" w:hRule="atLeast"/>
        </w:trPr>
        <w:tc>
          <w:tcPr>
            <w:shd w:val="clear" w:fill="B8CCE4"/>
            <w:tcW w:w="1823" w:type="dxa"/>
            <w:vAlign w:val="top"/>
          </w:tcPr>
          <w:p>
            <w:pPr>
              <w:pStyle w:val="TableText"/>
              <w:ind w:left="543"/>
              <w:spacing w:before="106" w:line="173" w:lineRule="auto"/>
              <w:rPr/>
            </w:pPr>
            <w:r>
              <w:rPr>
                <w:spacing w:val="3"/>
              </w:rPr>
              <w:t>873223</w:t>
            </w:r>
          </w:p>
        </w:tc>
        <w:tc>
          <w:tcPr>
            <w:shd w:val="clear" w:fill="B8CCE4"/>
            <w:tcW w:w="1343" w:type="dxa"/>
            <w:vAlign w:val="top"/>
          </w:tcPr>
          <w:p>
            <w:pPr>
              <w:pStyle w:val="TableText"/>
              <w:ind w:left="244"/>
              <w:spacing w:before="92" w:line="183" w:lineRule="auto"/>
              <w:rPr/>
            </w:pPr>
            <w:r>
              <w:rPr>
                <w:spacing w:val="8"/>
              </w:rPr>
              <w:t>荣亿精密</w:t>
            </w:r>
          </w:p>
        </w:tc>
        <w:tc>
          <w:tcPr>
            <w:shd w:val="clear" w:fill="B8CCE4"/>
            <w:tcW w:w="6140" w:type="dxa"/>
            <w:vAlign w:val="top"/>
          </w:tcPr>
          <w:p>
            <w:pPr>
              <w:pStyle w:val="TableText"/>
              <w:ind w:left="101"/>
              <w:spacing w:before="90" w:line="184" w:lineRule="auto"/>
              <w:rPr/>
            </w:pPr>
            <w:r>
              <w:rPr>
                <w:spacing w:val="9"/>
              </w:rPr>
              <w:t>重要合同签订时公司未按规定及时履行信息披露义务。</w:t>
            </w:r>
          </w:p>
        </w:tc>
      </w:tr>
      <w:tr>
        <w:trPr>
          <w:trHeight w:val="732" w:hRule="atLeast"/>
        </w:trPr>
        <w:tc>
          <w:tcPr>
            <w:tcW w:w="9306" w:type="dxa"/>
            <w:vAlign w:val="top"/>
            <w:gridSpan w:val="3"/>
          </w:tcPr>
          <w:p>
            <w:pPr>
              <w:pStyle w:val="TableText"/>
              <w:ind w:left="107" w:right="110" w:firstLine="15"/>
              <w:spacing w:before="49" w:line="235" w:lineRule="auto"/>
              <w:rPr/>
            </w:pPr>
            <w:r>
              <w:rPr>
                <w:b/>
                <w:bCs/>
                <w:spacing w:val="8"/>
              </w:rPr>
              <w:t>【行政监管措施】</w:t>
            </w:r>
            <w:r>
              <w:rPr>
                <w:b/>
                <w:bCs/>
                <w:spacing w:val="-26"/>
              </w:rPr>
              <w:t xml:space="preserve"> </w:t>
            </w:r>
            <w:r>
              <w:rPr>
                <w:spacing w:val="8"/>
              </w:rPr>
              <w:t>中国证券监督管理委员会浙江监管局决定对公司及时任董事长,时任总经理、</w:t>
            </w:r>
            <w:r>
              <w:rPr>
                <w:spacing w:val="-37"/>
              </w:rPr>
              <w:t xml:space="preserve"> </w:t>
            </w:r>
            <w:r>
              <w:rPr>
                <w:spacing w:val="8"/>
              </w:rPr>
              <w:t>时任</w:t>
            </w:r>
            <w:r>
              <w:rPr/>
              <w:t xml:space="preserve"> </w:t>
            </w:r>
            <w:r>
              <w:rPr>
                <w:spacing w:val="7"/>
              </w:rPr>
              <w:t>董秘分别采取出具警示函的监督管理措施， 并记入证券期货市场诚信档案。</w:t>
            </w:r>
          </w:p>
        </w:tc>
      </w:tr>
    </w:tbl>
    <w:p>
      <w:pPr>
        <w:pStyle w:val="BodyText"/>
        <w:spacing w:line="320" w:lineRule="auto"/>
        <w:rPr/>
      </w:pPr>
      <w:r/>
    </w:p>
    <w:p>
      <w:pPr>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4"/>
        </w:rPr>
        <w:t>（3） 立案调查</w:t>
      </w:r>
    </w:p>
    <w:p>
      <w:pPr>
        <w:spacing w:line="173" w:lineRule="exact"/>
        <w:rPr/>
      </w:pPr>
      <w:r/>
    </w:p>
    <w:tbl>
      <w:tblPr>
        <w:tblStyle w:val="TableNormal"/>
        <w:tblW w:w="9159" w:type="dxa"/>
        <w:tblInd w:w="51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710"/>
        <w:gridCol w:w="1343"/>
        <w:gridCol w:w="6106"/>
      </w:tblGrid>
      <w:tr>
        <w:trPr>
          <w:trHeight w:val="385" w:hRule="atLeast"/>
        </w:trPr>
        <w:tc>
          <w:tcPr>
            <w:shd w:val="clear" w:fill="4F81BD"/>
            <w:tcW w:w="1710" w:type="dxa"/>
            <w:vAlign w:val="top"/>
            <w:tcBorders>
              <w:bottom w:val="single" w:color="FFFFFF" w:sz="2" w:space="0"/>
            </w:tcBorders>
          </w:tcPr>
          <w:p>
            <w:pPr>
              <w:pStyle w:val="TableText"/>
              <w:ind w:left="430"/>
              <w:spacing w:before="109" w:line="186" w:lineRule="auto"/>
              <w:rPr/>
            </w:pPr>
            <w:r>
              <w:rPr>
                <w:b/>
                <w:bCs/>
                <w:color w:val="FFFFFF"/>
                <w:spacing w:val="8"/>
              </w:rPr>
              <w:t>公司代码</w:t>
            </w:r>
          </w:p>
        </w:tc>
        <w:tc>
          <w:tcPr>
            <w:shd w:val="clear" w:fill="4F81BD"/>
            <w:tcW w:w="1343" w:type="dxa"/>
            <w:vAlign w:val="top"/>
            <w:tcBorders>
              <w:bottom w:val="single" w:color="FFFFFF" w:sz="2" w:space="0"/>
            </w:tcBorders>
          </w:tcPr>
          <w:p>
            <w:pPr>
              <w:pStyle w:val="TableText"/>
              <w:ind w:left="244"/>
              <w:spacing w:before="110" w:line="185" w:lineRule="auto"/>
              <w:rPr/>
            </w:pPr>
            <w:r>
              <w:rPr>
                <w:b/>
                <w:bCs/>
                <w:color w:val="FFFFFF"/>
                <w:spacing w:val="8"/>
              </w:rPr>
              <w:t>公司简称</w:t>
            </w:r>
          </w:p>
        </w:tc>
        <w:tc>
          <w:tcPr>
            <w:shd w:val="clear" w:fill="4F81BD"/>
            <w:tcW w:w="6106" w:type="dxa"/>
            <w:vAlign w:val="top"/>
            <w:tcBorders>
              <w:bottom w:val="single" w:color="FFFFFF" w:sz="2" w:space="0"/>
            </w:tcBorders>
          </w:tcPr>
          <w:p>
            <w:pPr>
              <w:pStyle w:val="TableText"/>
              <w:ind w:left="2625"/>
              <w:spacing w:before="109" w:line="186" w:lineRule="auto"/>
              <w:rPr/>
            </w:pPr>
            <w:r>
              <w:rPr>
                <w:b/>
                <w:bCs/>
                <w:color w:val="FFFFFF"/>
                <w:spacing w:val="8"/>
              </w:rPr>
              <w:t>违规行为</w:t>
            </w:r>
          </w:p>
        </w:tc>
      </w:tr>
      <w:tr>
        <w:trPr>
          <w:trHeight w:val="1085" w:hRule="atLeast"/>
        </w:trPr>
        <w:tc>
          <w:tcPr>
            <w:shd w:val="clear" w:fill="B8CCE4"/>
            <w:tcW w:w="1710" w:type="dxa"/>
            <w:vAlign w:val="top"/>
            <w:tcBorders>
              <w:top w:val="single" w:color="FFFFFF" w:sz="2" w:space="0"/>
            </w:tcBorders>
          </w:tcPr>
          <w:p>
            <w:pPr>
              <w:spacing w:line="374" w:lineRule="auto"/>
              <w:rPr>
                <w:rFonts w:ascii="Arial"/>
                <w:sz w:val="21"/>
              </w:rPr>
            </w:pPr>
            <w:r/>
          </w:p>
          <w:p>
            <w:pPr>
              <w:pStyle w:val="TableText"/>
              <w:ind w:left="491"/>
              <w:spacing w:before="86" w:line="179" w:lineRule="auto"/>
              <w:rPr/>
            </w:pPr>
            <w:r>
              <w:rPr>
                <w:spacing w:val="3"/>
              </w:rPr>
              <w:t>300137</w:t>
            </w:r>
          </w:p>
        </w:tc>
        <w:tc>
          <w:tcPr>
            <w:shd w:val="clear" w:fill="B8CCE4"/>
            <w:tcW w:w="1343" w:type="dxa"/>
            <w:vAlign w:val="top"/>
            <w:tcBorders>
              <w:top w:val="single" w:color="FFFFFF" w:sz="2" w:space="0"/>
            </w:tcBorders>
          </w:tcPr>
          <w:p>
            <w:pPr>
              <w:spacing w:line="362" w:lineRule="auto"/>
              <w:rPr>
                <w:rFonts w:ascii="Arial"/>
                <w:sz w:val="21"/>
              </w:rPr>
            </w:pPr>
            <w:r/>
          </w:p>
          <w:p>
            <w:pPr>
              <w:pStyle w:val="TableText"/>
              <w:ind w:left="242"/>
              <w:spacing w:before="86" w:line="188" w:lineRule="auto"/>
              <w:rPr/>
            </w:pPr>
            <w:r>
              <w:rPr>
                <w:spacing w:val="9"/>
              </w:rPr>
              <w:t>先河环保</w:t>
            </w:r>
          </w:p>
        </w:tc>
        <w:tc>
          <w:tcPr>
            <w:shd w:val="clear" w:fill="B8CCE4"/>
            <w:tcW w:w="6106" w:type="dxa"/>
            <w:vAlign w:val="top"/>
            <w:tcBorders>
              <w:top w:val="single" w:color="FFFFFF" w:sz="2" w:space="0"/>
            </w:tcBorders>
          </w:tcPr>
          <w:p>
            <w:pPr>
              <w:pStyle w:val="TableText"/>
              <w:ind w:left="100" w:right="113" w:firstLine="14"/>
              <w:spacing w:before="49" w:line="239" w:lineRule="auto"/>
              <w:jc w:val="both"/>
              <w:rPr/>
            </w:pPr>
            <w:r>
              <w:rPr>
                <w:spacing w:val="7"/>
              </w:rPr>
              <w:t>因</w:t>
            </w:r>
            <w:r>
              <w:rPr>
                <w:b/>
                <w:bCs/>
                <w:spacing w:val="7"/>
              </w:rPr>
              <w:t>涉嫌信息披露违法违规</w:t>
            </w:r>
            <w:r>
              <w:rPr>
                <w:spacing w:val="7"/>
              </w:rPr>
              <w:t>， 根据《中华人民共和国证券法》《中</w:t>
            </w:r>
            <w:r>
              <w:rPr/>
              <w:t xml:space="preserve"> </w:t>
            </w:r>
            <w:r>
              <w:rPr>
                <w:spacing w:val="7"/>
              </w:rPr>
              <w:t>华人民共和国行政处罚法》等法律法规， 证监会决定对控股股东</w:t>
            </w:r>
            <w:r>
              <w:rPr>
                <w:spacing w:val="11"/>
              </w:rPr>
              <w:t xml:space="preserve"> </w:t>
            </w:r>
            <w:r>
              <w:rPr>
                <w:spacing w:val="9"/>
              </w:rPr>
              <w:t>清利新能源、第一大股东和前实际控制人进行立案。</w:t>
            </w:r>
          </w:p>
        </w:tc>
      </w:tr>
      <w:tr>
        <w:trPr>
          <w:trHeight w:val="1089" w:hRule="atLeast"/>
        </w:trPr>
        <w:tc>
          <w:tcPr>
            <w:tcW w:w="1710" w:type="dxa"/>
            <w:vAlign w:val="top"/>
          </w:tcPr>
          <w:p>
            <w:pPr>
              <w:spacing w:line="373" w:lineRule="auto"/>
              <w:rPr>
                <w:rFonts w:ascii="Arial"/>
                <w:sz w:val="21"/>
              </w:rPr>
            </w:pPr>
            <w:r/>
          </w:p>
          <w:p>
            <w:pPr>
              <w:pStyle w:val="TableText"/>
              <w:ind w:left="488"/>
              <w:spacing w:before="86" w:line="179" w:lineRule="auto"/>
              <w:rPr/>
            </w:pPr>
            <w:r>
              <w:rPr>
                <w:spacing w:val="3"/>
              </w:rPr>
              <w:t>600187</w:t>
            </w:r>
          </w:p>
        </w:tc>
        <w:tc>
          <w:tcPr>
            <w:tcW w:w="1343" w:type="dxa"/>
            <w:vAlign w:val="top"/>
          </w:tcPr>
          <w:p>
            <w:pPr>
              <w:spacing w:line="359" w:lineRule="auto"/>
              <w:rPr>
                <w:rFonts w:ascii="Arial"/>
                <w:sz w:val="21"/>
              </w:rPr>
            </w:pPr>
            <w:r/>
          </w:p>
          <w:p>
            <w:pPr>
              <w:pStyle w:val="TableText"/>
              <w:ind w:left="255"/>
              <w:spacing w:before="85" w:line="190" w:lineRule="auto"/>
              <w:rPr/>
            </w:pPr>
            <w:r>
              <w:rPr>
                <w:spacing w:val="5"/>
              </w:rPr>
              <w:t>国中水务</w:t>
            </w:r>
          </w:p>
        </w:tc>
        <w:tc>
          <w:tcPr>
            <w:tcW w:w="6106" w:type="dxa"/>
            <w:vAlign w:val="top"/>
          </w:tcPr>
          <w:p>
            <w:pPr>
              <w:pStyle w:val="TableText"/>
              <w:ind w:left="99" w:right="115"/>
              <w:spacing w:before="49"/>
              <w:rPr/>
            </w:pPr>
            <w:r>
              <w:rPr>
                <w:spacing w:val="7"/>
              </w:rPr>
              <w:t>公司及公司股东鹏欣集团</w:t>
            </w:r>
            <w:r>
              <w:rPr>
                <w:b/>
                <w:bCs/>
                <w:spacing w:val="7"/>
              </w:rPr>
              <w:t>因涉嫌信息披露违法违规</w:t>
            </w:r>
            <w:r>
              <w:rPr>
                <w:spacing w:val="7"/>
              </w:rPr>
              <w:t>， 根据《中华</w:t>
            </w:r>
            <w:r>
              <w:rPr>
                <w:spacing w:val="12"/>
              </w:rPr>
              <w:t xml:space="preserve"> </w:t>
            </w:r>
            <w:r>
              <w:rPr>
                <w:spacing w:val="10"/>
              </w:rPr>
              <w:t>人民共和国证券法》《中华人民共和国行政处罚</w:t>
            </w:r>
            <w:r>
              <w:rPr>
                <w:spacing w:val="9"/>
              </w:rPr>
              <w:t>法》等法律法</w:t>
            </w:r>
            <w:r>
              <w:rPr/>
              <w:t xml:space="preserve">    </w:t>
            </w:r>
            <w:r>
              <w:rPr>
                <w:spacing w:val="7"/>
              </w:rPr>
              <w:t>规， 中国证监会决定对公司及公司股东鹏欣集团进</w:t>
            </w:r>
            <w:r>
              <w:rPr>
                <w:spacing w:val="6"/>
              </w:rPr>
              <w:t>行立案。</w:t>
            </w:r>
          </w:p>
        </w:tc>
      </w:tr>
    </w:tbl>
    <w:p>
      <w:pPr>
        <w:pStyle w:val="BodyText"/>
        <w:rPr/>
      </w:pPr>
      <w:r/>
    </w:p>
    <w:p>
      <w:pPr>
        <w:sectPr>
          <w:pgSz w:w="11910" w:h="16840"/>
          <w:pgMar w:top="400" w:right="1394" w:bottom="0" w:left="757" w:header="0" w:footer="0" w:gutter="0"/>
        </w:sectPr>
        <w:rPr/>
      </w:pPr>
    </w:p>
    <w:p>
      <w:pPr>
        <w:ind w:left="1653"/>
        <w:spacing w:before="2" w:line="185" w:lineRule="auto"/>
        <w:rPr>
          <w:rFonts w:ascii="Microsoft YaHei" w:hAnsi="Microsoft YaHei" w:eastAsia="Microsoft YaHei" w:cs="Microsoft YaHei"/>
          <w:sz w:val="43"/>
          <w:szCs w:val="43"/>
        </w:rPr>
      </w:pPr>
      <w:r>
        <w:pict>
          <v:group id="_x0000_s28" style="position:absolute;margin-left:0.72pt;margin-top:0.47998pt;mso-position-vertical-relative:page;mso-position-horizontal-relative:page;width:67.85pt;height:56.9pt;z-index:-251645952;" o:allowincell="f" filled="false" stroked="false" coordsize="1356,1138" coordorigin="0,0">
            <v:shape id="_x0000_s30" style="position:absolute;left:0;top:0;width:1356;height:1138;" fillcolor="#A61C1F" filled="true" stroked="false" coordsize="1356,1138" coordorigin="0,0" path="m,l1356,0l1356,1137l0,1137l0,0xe"/>
            <v:shape id="_x0000_s32" style="position:absolute;left:237;top:112;width:819;height:913;" fillcolor="#FFFFFF" filled="true" stroked="false" coordsize="819,913" coordorigin="0,0" path="m594,777l223,777l213,771l213,731l223,725l594,725l604,731l604,771l594,777xm582,708l237,708l225,699l225,688l213,635l180,584l136,533l88,480l45,424l12,362l0,298l0,291l5,238l22,188l50,144l84,106l127,73l176,47l230,26l287,11l347,3l409,0l470,3l530,11l587,26l641,47l690,73l733,106l736,109l366,109l358,117l358,125l354,149l353,152l233,152l202,176l190,186l177,195l172,200l172,209l177,215l207,243l210,245l210,249l202,259l196,269l190,280l185,291l185,292l183,292l182,294l170,294l124,298l116,303l116,371l124,375l136,377l182,382l183,382l185,383l185,385l190,395l196,406l202,416l210,426l210,429l200,438l192,445l177,460l172,466l172,474l177,480l225,517l233,522l353,522l356,539l358,549l358,559l366,565l648,565l637,578l604,630l592,688l592,699l582,708xm526,183l523,182l497,172l483,168l469,165l467,165l467,163l466,160l466,149l462,137l462,125l459,117l452,109l736,109l768,144l773,152l587,152l574,154l567,158l530,182l528,182l526,183xm293,183l292,182l290,182l280,176l270,170l262,164l252,158l243,154l233,152l353,152l352,160l352,163l350,165l348,165l334,168l322,172l307,177l294,182l293,183xm686,522l587,522l648,474l646,466l640,460l626,445l617,438l608,429l608,428l610,426l617,416l622,406l627,395l632,385l632,383l634,382l638,382l683,377l693,375l703,371l703,303l693,298l683,297l648,294l638,294l634,292l632,292l632,291l627,280l622,269l617,259l610,249l608,248l608,245l610,243l640,215l646,209l648,200l640,195l628,186l617,176l592,158l587,152l773,152l796,188l813,238l818,291l818,298l806,362l773,422l730,476l686,522xm410,448l354,439l308,415l278,380l267,337l278,295l308,260l354,236l410,228l464,236l509,260l539,295l550,337l539,380l509,415l464,439l410,448xm353,522l243,522l252,515l262,511l270,505l280,500l290,494l292,492l294,492l307,498l322,503l334,506l348,509l352,512l352,515l353,522xm648,565l452,565l459,559l462,549l462,539l466,526l466,514l467,512l467,511l469,509l497,503l510,498l523,492l528,492l530,494l539,500l548,505l557,511l567,515l574,522l686,522l681,527l648,565xm560,912l257,912l247,906l247,865l257,859l560,859l570,865l570,906l560,912xm582,845l235,845l227,839l227,797l235,791l582,791l592,797l592,839l582,845e"/>
          </v:group>
        </w:pict>
      </w:r>
      <w:r>
        <w:rPr>
          <w:rFonts w:ascii="Microsoft YaHei" w:hAnsi="Microsoft YaHei" w:eastAsia="Microsoft YaHei" w:cs="Microsoft YaHei"/>
          <w:sz w:val="43"/>
          <w:szCs w:val="43"/>
          <w:spacing w:val="7"/>
        </w:rPr>
        <w:t>监管动态</w:t>
      </w:r>
    </w:p>
    <w:p>
      <w:pPr>
        <w:ind w:firstLine="1324"/>
        <w:spacing w:before="206" w:line="51" w:lineRule="exact"/>
        <w:rPr/>
      </w:pPr>
      <w:r>
        <w:rPr>
          <w:position w:val="-1"/>
        </w:rPr>
        <w:drawing>
          <wp:inline distT="0" distB="0" distL="0" distR="0">
            <wp:extent cx="6675119" cy="32245"/>
            <wp:effectExtent l="0" t="0" r="0" b="0"/>
            <wp:docPr id="18" name="IM 18"/>
            <wp:cNvGraphicFramePr/>
            <a:graphic>
              <a:graphicData uri="http://schemas.openxmlformats.org/drawingml/2006/picture">
                <pic:pic>
                  <pic:nvPicPr>
                    <pic:cNvPr id="18" name="IM 18"/>
                    <pic:cNvPicPr/>
                  </pic:nvPicPr>
                  <pic:blipFill>
                    <a:blip r:embed="rId13"/>
                    <a:stretch>
                      <a:fillRect/>
                    </a:stretch>
                  </pic:blipFill>
                  <pic:spPr>
                    <a:xfrm rot="0">
                      <a:off x="0" y="0"/>
                      <a:ext cx="6675119" cy="32245"/>
                    </a:xfrm>
                    <a:prstGeom prst="rect">
                      <a:avLst/>
                    </a:prstGeom>
                  </pic:spPr>
                </pic:pic>
              </a:graphicData>
            </a:graphic>
          </wp:inline>
        </w:drawing>
      </w:r>
    </w:p>
    <w:p>
      <w:pPr>
        <w:pStyle w:val="BodyText"/>
        <w:spacing w:line="278" w:lineRule="auto"/>
        <w:rPr/>
      </w:pPr>
      <w:r/>
    </w:p>
    <w:p>
      <w:pPr>
        <w:pStyle w:val="BodyText"/>
        <w:spacing w:line="279" w:lineRule="auto"/>
        <w:rPr/>
      </w:pPr>
      <w:r/>
    </w:p>
    <w:p>
      <w:pPr>
        <w:ind w:left="339"/>
        <w:spacing w:before="120" w:line="183" w:lineRule="auto"/>
        <w:rPr>
          <w:rFonts w:ascii="Microsoft YaHei" w:hAnsi="Microsoft YaHei" w:eastAsia="Microsoft YaHei" w:cs="Microsoft YaHei"/>
          <w:sz w:val="28"/>
          <w:szCs w:val="28"/>
        </w:rPr>
      </w:pPr>
      <w:r>
        <w:drawing>
          <wp:anchor distT="0" distB="0" distL="0" distR="0" simplePos="0" relativeHeight="251671552" behindDoc="1" locked="0" layoutInCell="1" allowOverlap="1">
            <wp:simplePos x="0" y="0"/>
            <wp:positionH relativeFrom="column">
              <wp:posOffset>4572</wp:posOffset>
            </wp:positionH>
            <wp:positionV relativeFrom="paragraph">
              <wp:posOffset>-93906</wp:posOffset>
            </wp:positionV>
            <wp:extent cx="1711451" cy="586740"/>
            <wp:effectExtent l="0" t="0" r="0" b="0"/>
            <wp:wrapNone/>
            <wp:docPr id="20" name="IM 20"/>
            <wp:cNvGraphicFramePr/>
            <a:graphic>
              <a:graphicData uri="http://schemas.openxmlformats.org/drawingml/2006/picture">
                <pic:pic>
                  <pic:nvPicPr>
                    <pic:cNvPr id="20" name="IM 20"/>
                    <pic:cNvPicPr/>
                  </pic:nvPicPr>
                  <pic:blipFill>
                    <a:blip r:embed="rId14"/>
                    <a:stretch>
                      <a:fillRect/>
                    </a:stretch>
                  </pic:blipFill>
                  <pic:spPr>
                    <a:xfrm rot="0">
                      <a:off x="0" y="0"/>
                      <a:ext cx="1711451" cy="586740"/>
                    </a:xfrm>
                    <a:prstGeom prst="rect">
                      <a:avLst/>
                    </a:prstGeom>
                  </pic:spPr>
                </pic:pic>
              </a:graphicData>
            </a:graphic>
          </wp:anchor>
        </w:drawing>
      </w:r>
      <w:r>
        <w:rPr>
          <w:rFonts w:ascii="Microsoft YaHei" w:hAnsi="Microsoft YaHei" w:eastAsia="Microsoft YaHei" w:cs="Microsoft YaHei"/>
          <w:sz w:val="28"/>
          <w:szCs w:val="28"/>
          <w:b/>
          <w:bCs/>
          <w:color w:val="FFFFFF"/>
          <w:spacing w:val="-1"/>
        </w:rPr>
        <w:t>上交所监管动态</w:t>
      </w:r>
    </w:p>
    <w:p>
      <w:pPr>
        <w:pStyle w:val="BodyText"/>
        <w:spacing w:line="252" w:lineRule="auto"/>
        <w:rPr/>
      </w:pPr>
      <w:r/>
    </w:p>
    <w:p>
      <w:pPr>
        <w:pStyle w:val="BodyText"/>
        <w:spacing w:line="252" w:lineRule="auto"/>
        <w:rPr/>
      </w:pPr>
      <w:r/>
    </w:p>
    <w:p>
      <w:pPr>
        <w:ind w:left="886"/>
        <w:spacing w:before="104"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6"/>
        </w:rPr>
        <w:t>1、上市公司监管动态</w:t>
      </w:r>
    </w:p>
    <w:p>
      <w:pPr>
        <w:ind w:left="444" w:right="583" w:firstLine="473"/>
        <w:spacing w:before="171" w:line="35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rPr>
        <w:t>2024年8月19日-8月25日， 上交所公司监管部门作出5份监管警示函， 对2宗行为予以纪</w:t>
      </w:r>
      <w:r>
        <w:rPr>
          <w:rFonts w:ascii="Microsoft YaHei" w:hAnsi="Microsoft YaHei" w:eastAsia="Microsoft YaHei" w:cs="Microsoft YaHei"/>
          <w:sz w:val="24"/>
          <w:szCs w:val="24"/>
          <w:spacing w:val="-1"/>
        </w:rPr>
        <w:t>律处分。</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同时， 加大信息披露和股价异常的联动监管， 针对公司披露敏感信息或股</w:t>
      </w:r>
      <w:r>
        <w:rPr>
          <w:rFonts w:ascii="Microsoft YaHei" w:hAnsi="Microsoft YaHei" w:eastAsia="Microsoft YaHei" w:cs="Microsoft YaHei"/>
          <w:sz w:val="24"/>
          <w:szCs w:val="24"/>
          <w:spacing w:val="-5"/>
        </w:rPr>
        <w:t>价发生明显异常的， 提请启动</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2"/>
        </w:rPr>
        <w:t>内幕交易、异常交易核查3单。</w:t>
      </w:r>
    </w:p>
    <w:p>
      <w:pPr>
        <w:pStyle w:val="BodyText"/>
        <w:spacing w:line="295" w:lineRule="auto"/>
        <w:rPr/>
      </w:pPr>
      <w:r/>
    </w:p>
    <w:p>
      <w:pPr>
        <w:ind w:firstLine="1292"/>
        <w:spacing w:line="5222" w:lineRule="exact"/>
        <w:rPr/>
      </w:pPr>
      <w:r>
        <w:rPr>
          <w:position w:val="-104"/>
        </w:rPr>
        <w:drawing>
          <wp:inline distT="0" distB="0" distL="0" distR="0">
            <wp:extent cx="5814059" cy="3315970"/>
            <wp:effectExtent l="0" t="0" r="0" b="0"/>
            <wp:docPr id="22" name="IM 22"/>
            <wp:cNvGraphicFramePr/>
            <a:graphic>
              <a:graphicData uri="http://schemas.openxmlformats.org/drawingml/2006/picture">
                <pic:pic>
                  <pic:nvPicPr>
                    <pic:cNvPr id="22" name="IM 22"/>
                    <pic:cNvPicPr/>
                  </pic:nvPicPr>
                  <pic:blipFill>
                    <a:blip r:embed="rId15"/>
                    <a:stretch>
                      <a:fillRect/>
                    </a:stretch>
                  </pic:blipFill>
                  <pic:spPr>
                    <a:xfrm rot="0">
                      <a:off x="0" y="0"/>
                      <a:ext cx="5814059" cy="3315970"/>
                    </a:xfrm>
                    <a:prstGeom prst="rect">
                      <a:avLst/>
                    </a:prstGeom>
                  </pic:spPr>
                </pic:pic>
              </a:graphicData>
            </a:graphic>
          </wp:inline>
        </w:drawing>
      </w:r>
    </w:p>
    <w:p>
      <w:pPr>
        <w:pStyle w:val="BodyText"/>
        <w:spacing w:line="311" w:lineRule="auto"/>
        <w:rPr/>
      </w:pPr>
      <w:r/>
    </w:p>
    <w:p>
      <w:pPr>
        <w:pStyle w:val="BodyText"/>
        <w:spacing w:line="312" w:lineRule="auto"/>
        <w:rPr/>
      </w:pPr>
      <w:r/>
    </w:p>
    <w:p>
      <w:pPr>
        <w:ind w:left="742"/>
        <w:spacing w:before="104"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1"/>
        </w:rPr>
        <w:t>（1） 监管措施统计</w:t>
      </w:r>
    </w:p>
    <w:p>
      <w:pPr>
        <w:spacing w:line="185" w:lineRule="exact"/>
        <w:rPr/>
      </w:pPr>
      <w:r/>
    </w:p>
    <w:tbl>
      <w:tblPr>
        <w:tblStyle w:val="TableNormal"/>
        <w:tblW w:w="9167" w:type="dxa"/>
        <w:tblInd w:w="1256"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375"/>
        <w:gridCol w:w="1215"/>
        <w:gridCol w:w="1324"/>
        <w:gridCol w:w="5253"/>
      </w:tblGrid>
      <w:tr>
        <w:trPr>
          <w:trHeight w:val="378" w:hRule="atLeast"/>
        </w:trPr>
        <w:tc>
          <w:tcPr>
            <w:shd w:val="clear" w:fill="C0504D"/>
            <w:tcW w:w="1375" w:type="dxa"/>
            <w:vAlign w:val="top"/>
            <w:tcBorders>
              <w:bottom w:val="single" w:color="FFFFFF" w:sz="10" w:space="0"/>
            </w:tcBorders>
          </w:tcPr>
          <w:p>
            <w:pPr>
              <w:pStyle w:val="TableText"/>
              <w:ind w:left="261"/>
              <w:spacing w:before="90" w:line="189" w:lineRule="auto"/>
              <w:rPr/>
            </w:pPr>
            <w:r>
              <w:rPr>
                <w:b/>
                <w:bCs/>
                <w:color w:val="FFFFFF"/>
                <w:spacing w:val="8"/>
              </w:rPr>
              <w:t>公司代码</w:t>
            </w:r>
          </w:p>
        </w:tc>
        <w:tc>
          <w:tcPr>
            <w:shd w:val="clear" w:fill="C0504D"/>
            <w:tcW w:w="1215" w:type="dxa"/>
            <w:vAlign w:val="top"/>
            <w:tcBorders>
              <w:bottom w:val="single" w:color="FFFFFF" w:sz="10" w:space="0"/>
            </w:tcBorders>
          </w:tcPr>
          <w:p>
            <w:pPr>
              <w:pStyle w:val="TableText"/>
              <w:ind w:left="180"/>
              <w:spacing w:before="90" w:line="189" w:lineRule="auto"/>
              <w:rPr/>
            </w:pPr>
            <w:r>
              <w:rPr>
                <w:b/>
                <w:bCs/>
                <w:color w:val="FFFFFF"/>
                <w:spacing w:val="8"/>
              </w:rPr>
              <w:t>公司简称</w:t>
            </w:r>
          </w:p>
        </w:tc>
        <w:tc>
          <w:tcPr>
            <w:shd w:val="clear" w:fill="C0504D"/>
            <w:tcW w:w="1324" w:type="dxa"/>
            <w:vAlign w:val="top"/>
            <w:tcBorders>
              <w:bottom w:val="single" w:color="FFFFFF" w:sz="10" w:space="0"/>
            </w:tcBorders>
          </w:tcPr>
          <w:p>
            <w:pPr>
              <w:pStyle w:val="TableText"/>
              <w:ind w:left="247"/>
              <w:spacing w:before="91" w:line="188" w:lineRule="auto"/>
              <w:rPr/>
            </w:pPr>
            <w:r>
              <w:rPr>
                <w:b/>
                <w:bCs/>
                <w:color w:val="FFFFFF"/>
                <w:spacing w:val="5"/>
              </w:rPr>
              <w:t>函件类别</w:t>
            </w:r>
          </w:p>
        </w:tc>
        <w:tc>
          <w:tcPr>
            <w:shd w:val="clear" w:fill="C0504D"/>
            <w:tcW w:w="5253" w:type="dxa"/>
            <w:vAlign w:val="top"/>
            <w:tcBorders>
              <w:bottom w:val="single" w:color="FFFFFF" w:sz="10" w:space="0"/>
            </w:tcBorders>
          </w:tcPr>
          <w:p>
            <w:pPr>
              <w:pStyle w:val="TableText"/>
              <w:ind w:left="2200"/>
              <w:spacing w:before="90" w:line="189" w:lineRule="auto"/>
              <w:rPr/>
            </w:pPr>
            <w:r>
              <w:rPr>
                <w:b/>
                <w:bCs/>
                <w:color w:val="FFFFFF"/>
                <w:spacing w:val="8"/>
              </w:rPr>
              <w:t>违规类型</w:t>
            </w:r>
          </w:p>
        </w:tc>
      </w:tr>
      <w:tr>
        <w:trPr>
          <w:trHeight w:val="719" w:hRule="atLeast"/>
        </w:trPr>
        <w:tc>
          <w:tcPr>
            <w:tcW w:w="1375" w:type="dxa"/>
            <w:vAlign w:val="top"/>
            <w:tcBorders>
              <w:top w:val="single" w:color="FFFFFF" w:sz="10" w:space="0"/>
            </w:tcBorders>
          </w:tcPr>
          <w:p>
            <w:pPr>
              <w:pStyle w:val="TableText"/>
              <w:ind w:left="320"/>
              <w:spacing w:before="91" w:line="179" w:lineRule="auto"/>
              <w:rPr/>
            </w:pPr>
            <w:r>
              <w:rPr>
                <w:spacing w:val="3"/>
              </w:rPr>
              <w:t>688122</w:t>
            </w:r>
          </w:p>
        </w:tc>
        <w:tc>
          <w:tcPr>
            <w:tcW w:w="1215" w:type="dxa"/>
            <w:vAlign w:val="top"/>
            <w:tcBorders>
              <w:top w:val="single" w:color="FFFFFF" w:sz="10" w:space="0"/>
            </w:tcBorders>
          </w:tcPr>
          <w:p>
            <w:pPr>
              <w:pStyle w:val="TableText"/>
              <w:ind w:left="181"/>
              <w:spacing w:before="78" w:line="189" w:lineRule="auto"/>
              <w:rPr/>
            </w:pPr>
            <w:r>
              <w:rPr>
                <w:spacing w:val="8"/>
              </w:rPr>
              <w:t>西部超导</w:t>
            </w:r>
          </w:p>
        </w:tc>
        <w:tc>
          <w:tcPr>
            <w:tcW w:w="1324" w:type="dxa"/>
            <w:vAlign w:val="top"/>
            <w:tcBorders>
              <w:top w:val="single" w:color="FFFFFF" w:sz="10" w:space="0"/>
            </w:tcBorders>
          </w:tcPr>
          <w:p>
            <w:pPr>
              <w:pStyle w:val="TableText"/>
              <w:ind w:left="237"/>
              <w:spacing w:before="78" w:line="189" w:lineRule="auto"/>
              <w:rPr/>
            </w:pPr>
            <w:r>
              <w:rPr>
                <w:spacing w:val="8"/>
              </w:rPr>
              <w:t>监管警示</w:t>
            </w:r>
          </w:p>
        </w:tc>
        <w:tc>
          <w:tcPr>
            <w:tcW w:w="5253" w:type="dxa"/>
            <w:vAlign w:val="top"/>
            <w:tcBorders>
              <w:top w:val="single" w:color="FFFFFF" w:sz="10" w:space="0"/>
            </w:tcBorders>
          </w:tcPr>
          <w:p>
            <w:pPr>
              <w:pStyle w:val="TableText"/>
              <w:ind w:left="2" w:right="196" w:firstLine="1"/>
              <w:spacing w:before="77" w:line="221" w:lineRule="auto"/>
              <w:rPr/>
            </w:pPr>
            <w:r>
              <w:rPr>
                <w:spacing w:val="10"/>
              </w:rPr>
              <w:t>公司选举独立董事未在规定时间内履行</w:t>
            </w:r>
            <w:r>
              <w:rPr>
                <w:b/>
                <w:bCs/>
                <w:spacing w:val="10"/>
              </w:rPr>
              <w:t>报送材</w:t>
            </w:r>
            <w:r>
              <w:rPr>
                <w:b/>
                <w:bCs/>
                <w:spacing w:val="9"/>
              </w:rPr>
              <w:t>料</w:t>
            </w:r>
            <w:r>
              <w:rPr>
                <w:spacing w:val="9"/>
              </w:rPr>
              <w:t>的相关</w:t>
            </w:r>
            <w:r>
              <w:rPr/>
              <w:t xml:space="preserve"> </w:t>
            </w:r>
            <w:r>
              <w:rPr>
                <w:spacing w:val="5"/>
              </w:rPr>
              <w:t>程序。</w:t>
            </w:r>
          </w:p>
        </w:tc>
      </w:tr>
      <w:tr>
        <w:trPr>
          <w:trHeight w:val="1440" w:hRule="atLeast"/>
        </w:trPr>
        <w:tc>
          <w:tcPr>
            <w:shd w:val="clear" w:fill="F2DCDC"/>
            <w:tcW w:w="1375" w:type="dxa"/>
            <w:vAlign w:val="top"/>
          </w:tcPr>
          <w:p>
            <w:pPr>
              <w:pStyle w:val="TableText"/>
              <w:ind w:left="320"/>
              <w:spacing w:before="98" w:line="178" w:lineRule="auto"/>
              <w:rPr/>
            </w:pPr>
            <w:r>
              <w:rPr>
                <w:spacing w:val="3"/>
              </w:rPr>
              <w:t>600965</w:t>
            </w:r>
          </w:p>
        </w:tc>
        <w:tc>
          <w:tcPr>
            <w:shd w:val="clear" w:fill="F2DCDC"/>
            <w:tcW w:w="1215" w:type="dxa"/>
            <w:vAlign w:val="top"/>
          </w:tcPr>
          <w:p>
            <w:pPr>
              <w:pStyle w:val="TableText"/>
              <w:ind w:left="179"/>
              <w:spacing w:before="83" w:line="189" w:lineRule="auto"/>
              <w:rPr/>
            </w:pPr>
            <w:r>
              <w:rPr>
                <w:spacing w:val="8"/>
              </w:rPr>
              <w:t>福成股份</w:t>
            </w:r>
          </w:p>
        </w:tc>
        <w:tc>
          <w:tcPr>
            <w:shd w:val="clear" w:fill="F2DCDC"/>
            <w:tcW w:w="1324" w:type="dxa"/>
            <w:vAlign w:val="top"/>
          </w:tcPr>
          <w:p>
            <w:pPr>
              <w:pStyle w:val="TableText"/>
              <w:ind w:left="237"/>
              <w:spacing w:before="83" w:line="189" w:lineRule="auto"/>
              <w:rPr/>
            </w:pPr>
            <w:r>
              <w:rPr>
                <w:spacing w:val="8"/>
              </w:rPr>
              <w:t>监管警示</w:t>
            </w:r>
          </w:p>
        </w:tc>
        <w:tc>
          <w:tcPr>
            <w:shd w:val="clear" w:fill="F2DCDC"/>
            <w:tcW w:w="5253" w:type="dxa"/>
            <w:vAlign w:val="top"/>
          </w:tcPr>
          <w:p>
            <w:pPr>
              <w:pStyle w:val="TableText"/>
              <w:ind w:left="2" w:right="199"/>
              <w:spacing w:before="81" w:line="250" w:lineRule="auto"/>
              <w:rPr/>
            </w:pPr>
            <w:r>
              <w:rPr>
                <w:spacing w:val="9"/>
              </w:rPr>
              <w:t>公司独立董事专门会议确定了复审机构并告知公司管理</w:t>
            </w:r>
            <w:r>
              <w:rPr>
                <w:spacing w:val="18"/>
              </w:rPr>
              <w:t xml:space="preserve"> </w:t>
            </w:r>
            <w:r>
              <w:rPr>
                <w:spacing w:val="7"/>
              </w:rPr>
              <w:t>层， 要求公司配合签订合同并尽快开展复审工作</w:t>
            </w:r>
            <w:r>
              <w:rPr>
                <w:spacing w:val="6"/>
              </w:rPr>
              <w:t>。但</w:t>
            </w:r>
          </w:p>
          <w:p>
            <w:pPr>
              <w:pStyle w:val="TableText"/>
              <w:ind w:left="3" w:right="199" w:hanging="1"/>
              <w:spacing w:before="4" w:line="220" w:lineRule="auto"/>
              <w:rPr/>
            </w:pPr>
            <w:r>
              <w:rPr>
                <w:spacing w:val="4"/>
              </w:rPr>
              <w:t>是， 公司拒绝与复审机构签定协议， </w:t>
            </w:r>
            <w:r>
              <w:rPr>
                <w:b/>
                <w:bCs/>
                <w:spacing w:val="4"/>
              </w:rPr>
              <w:t>阻碍独立董事行使</w:t>
            </w:r>
            <w:r>
              <w:rPr>
                <w:b/>
                <w:bCs/>
                <w:spacing w:val="12"/>
              </w:rPr>
              <w:t xml:space="preserve"> </w:t>
            </w:r>
            <w:r>
              <w:rPr>
                <w:b/>
                <w:bCs/>
                <w:spacing w:val="4"/>
              </w:rPr>
              <w:t>职权。</w:t>
            </w:r>
          </w:p>
        </w:tc>
      </w:tr>
      <w:tr>
        <w:trPr>
          <w:trHeight w:val="1082" w:hRule="atLeast"/>
        </w:trPr>
        <w:tc>
          <w:tcPr>
            <w:tcW w:w="1375" w:type="dxa"/>
            <w:vAlign w:val="top"/>
          </w:tcPr>
          <w:p>
            <w:pPr>
              <w:pStyle w:val="TableText"/>
              <w:ind w:left="320"/>
              <w:spacing w:before="105" w:line="178" w:lineRule="auto"/>
              <w:rPr/>
            </w:pPr>
            <w:r>
              <w:rPr>
                <w:spacing w:val="3"/>
              </w:rPr>
              <w:t>603595</w:t>
            </w:r>
          </w:p>
        </w:tc>
        <w:tc>
          <w:tcPr>
            <w:tcW w:w="1215" w:type="dxa"/>
            <w:vAlign w:val="top"/>
          </w:tcPr>
          <w:p>
            <w:pPr>
              <w:pStyle w:val="TableText"/>
              <w:ind w:left="178"/>
              <w:spacing w:before="90" w:line="189" w:lineRule="auto"/>
              <w:rPr/>
            </w:pPr>
            <w:r>
              <w:rPr>
                <w:spacing w:val="8"/>
              </w:rPr>
              <w:t>东尼电子</w:t>
            </w:r>
          </w:p>
        </w:tc>
        <w:tc>
          <w:tcPr>
            <w:tcW w:w="1324" w:type="dxa"/>
            <w:vAlign w:val="top"/>
          </w:tcPr>
          <w:p>
            <w:pPr>
              <w:pStyle w:val="TableText"/>
              <w:ind w:left="235"/>
              <w:spacing w:before="91" w:line="188" w:lineRule="auto"/>
              <w:rPr/>
            </w:pPr>
            <w:r>
              <w:rPr>
                <w:spacing w:val="8"/>
              </w:rPr>
              <w:t>通报批评</w:t>
            </w:r>
          </w:p>
        </w:tc>
        <w:tc>
          <w:tcPr>
            <w:tcW w:w="5253" w:type="dxa"/>
            <w:vAlign w:val="top"/>
          </w:tcPr>
          <w:p>
            <w:pPr>
              <w:pStyle w:val="TableText"/>
              <w:ind w:left="3" w:right="199"/>
              <w:spacing w:before="89" w:line="229" w:lineRule="auto"/>
              <w:jc w:val="both"/>
              <w:rPr/>
            </w:pPr>
            <w:r>
              <w:rPr>
                <w:spacing w:val="7"/>
              </w:rPr>
              <w:t>定期报告</w:t>
            </w:r>
            <w:r>
              <w:rPr>
                <w:b/>
                <w:bCs/>
                <w:spacing w:val="7"/>
              </w:rPr>
              <w:t>财务信息</w:t>
            </w:r>
            <w:r>
              <w:rPr>
                <w:spacing w:val="7"/>
              </w:rPr>
              <w:t>披露不准确； </w:t>
            </w:r>
            <w:r>
              <w:rPr>
                <w:b/>
                <w:bCs/>
                <w:spacing w:val="7"/>
              </w:rPr>
              <w:t>关联交易</w:t>
            </w:r>
            <w:r>
              <w:rPr>
                <w:spacing w:val="7"/>
              </w:rPr>
              <w:t>未按规定履行</w:t>
            </w:r>
            <w:r>
              <w:rPr/>
              <w:t xml:space="preserve"> </w:t>
            </w:r>
            <w:r>
              <w:rPr>
                <w:spacing w:val="7"/>
              </w:rPr>
              <w:t>审议程序且定期报告中相关信息披露不准确； </w:t>
            </w:r>
            <w:r>
              <w:rPr>
                <w:b/>
                <w:bCs/>
                <w:spacing w:val="7"/>
              </w:rPr>
              <w:t>业绩预告</w:t>
            </w:r>
            <w:r>
              <w:rPr>
                <w:b/>
                <w:bCs/>
              </w:rPr>
              <w:t xml:space="preserve"> </w:t>
            </w:r>
            <w:r>
              <w:rPr>
                <w:spacing w:val="7"/>
              </w:rPr>
              <w:t>披露不准确。</w:t>
            </w:r>
          </w:p>
        </w:tc>
      </w:tr>
      <w:tr>
        <w:trPr>
          <w:trHeight w:val="730" w:hRule="atLeast"/>
        </w:trPr>
        <w:tc>
          <w:tcPr>
            <w:shd w:val="clear" w:fill="F2DCDC"/>
            <w:tcW w:w="1375" w:type="dxa"/>
            <w:vAlign w:val="top"/>
          </w:tcPr>
          <w:p>
            <w:pPr>
              <w:pStyle w:val="TableText"/>
              <w:ind w:left="320"/>
              <w:spacing w:before="109" w:line="178" w:lineRule="auto"/>
              <w:rPr/>
            </w:pPr>
            <w:r>
              <w:rPr>
                <w:spacing w:val="3"/>
              </w:rPr>
              <w:t>688272</w:t>
            </w:r>
          </w:p>
        </w:tc>
        <w:tc>
          <w:tcPr>
            <w:shd w:val="clear" w:fill="F2DCDC"/>
            <w:tcW w:w="1215" w:type="dxa"/>
            <w:vAlign w:val="top"/>
          </w:tcPr>
          <w:p>
            <w:pPr>
              <w:pStyle w:val="TableText"/>
              <w:ind w:left="291"/>
              <w:spacing w:before="94" w:line="189" w:lineRule="auto"/>
              <w:rPr/>
            </w:pPr>
            <w:r>
              <w:rPr>
                <w:spacing w:val="5"/>
              </w:rPr>
              <w:t>富吉瑞</w:t>
            </w:r>
          </w:p>
        </w:tc>
        <w:tc>
          <w:tcPr>
            <w:shd w:val="clear" w:fill="F2DCDC"/>
            <w:tcW w:w="1324" w:type="dxa"/>
            <w:vAlign w:val="top"/>
          </w:tcPr>
          <w:p>
            <w:pPr>
              <w:pStyle w:val="TableText"/>
              <w:ind w:left="237"/>
              <w:spacing w:before="94" w:line="189" w:lineRule="auto"/>
              <w:rPr/>
            </w:pPr>
            <w:r>
              <w:rPr>
                <w:spacing w:val="8"/>
              </w:rPr>
              <w:t>监管警示</w:t>
            </w:r>
          </w:p>
        </w:tc>
        <w:tc>
          <w:tcPr>
            <w:shd w:val="clear" w:fill="F2DCDC"/>
            <w:tcW w:w="5253" w:type="dxa"/>
            <w:vAlign w:val="top"/>
          </w:tcPr>
          <w:p>
            <w:pPr>
              <w:pStyle w:val="TableText"/>
              <w:ind w:left="6" w:right="82" w:hanging="3"/>
              <w:spacing w:before="93" w:line="219" w:lineRule="auto"/>
              <w:rPr/>
            </w:pPr>
            <w:r>
              <w:rPr>
                <w:spacing w:val="9"/>
              </w:rPr>
              <w:t>公司股东苏州兆戎通过集中竞价交易、大宗交易减持公</w:t>
            </w:r>
            <w:r>
              <w:rPr>
                <w:spacing w:val="6"/>
              </w:rPr>
              <w:t xml:space="preserve">   </w:t>
            </w:r>
            <w:r>
              <w:rPr>
                <w:spacing w:val="5"/>
              </w:rPr>
              <w:t>司股份， 其中240,191股股票未按规</w:t>
            </w:r>
            <w:r>
              <w:rPr>
                <w:spacing w:val="4"/>
              </w:rPr>
              <w:t>定履行</w:t>
            </w:r>
            <w:r>
              <w:rPr>
                <w:b/>
                <w:bCs/>
                <w:spacing w:val="4"/>
              </w:rPr>
              <w:t>预披露义务。</w:t>
            </w:r>
          </w:p>
        </w:tc>
      </w:tr>
    </w:tbl>
    <w:p>
      <w:pPr>
        <w:pStyle w:val="BodyText"/>
        <w:rPr/>
      </w:pPr>
      <w:r/>
    </w:p>
    <w:p>
      <w:pPr>
        <w:sectPr>
          <w:headerReference w:type="default" r:id="rId12"/>
          <w:pgSz w:w="11910" w:h="16840"/>
          <w:pgMar w:top="314" w:right="59" w:bottom="0" w:left="14" w:header="0" w:footer="0" w:gutter="0"/>
        </w:sectPr>
        <w:rPr/>
      </w:pPr>
    </w:p>
    <w:tbl>
      <w:tblPr>
        <w:tblStyle w:val="TableNormal"/>
        <w:tblW w:w="9167" w:type="dxa"/>
        <w:tblInd w:w="828"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375"/>
        <w:gridCol w:w="1215"/>
        <w:gridCol w:w="1324"/>
        <w:gridCol w:w="5253"/>
      </w:tblGrid>
      <w:tr>
        <w:trPr>
          <w:trHeight w:val="740" w:hRule="atLeast"/>
        </w:trPr>
        <w:tc>
          <w:tcPr>
            <w:tcW w:w="1375" w:type="dxa"/>
            <w:vAlign w:val="top"/>
            <w:tcBorders>
              <w:top w:val="single" w:color="FFFFFF" w:sz="2" w:space="0"/>
            </w:tcBorders>
          </w:tcPr>
          <w:p>
            <w:pPr>
              <w:pStyle w:val="TableText"/>
              <w:ind w:left="320"/>
              <w:spacing w:before="117" w:line="178" w:lineRule="auto"/>
              <w:rPr/>
            </w:pPr>
            <w:r>
              <w:rPr>
                <w:spacing w:val="3"/>
              </w:rPr>
              <w:t>603655</w:t>
            </w:r>
          </w:p>
        </w:tc>
        <w:tc>
          <w:tcPr>
            <w:tcW w:w="1215" w:type="dxa"/>
            <w:vAlign w:val="top"/>
            <w:tcBorders>
              <w:top w:val="single" w:color="FFFFFF" w:sz="2" w:space="0"/>
            </w:tcBorders>
          </w:tcPr>
          <w:p>
            <w:pPr>
              <w:pStyle w:val="TableText"/>
              <w:ind w:left="188"/>
              <w:spacing w:before="102" w:line="189" w:lineRule="auto"/>
              <w:rPr/>
            </w:pPr>
            <w:r>
              <w:rPr>
                <w:spacing w:val="6"/>
              </w:rPr>
              <w:t>朗博科技</w:t>
            </w:r>
          </w:p>
        </w:tc>
        <w:tc>
          <w:tcPr>
            <w:tcW w:w="1324" w:type="dxa"/>
            <w:vAlign w:val="top"/>
            <w:tcBorders>
              <w:top w:val="single" w:color="FFFFFF" w:sz="2" w:space="0"/>
            </w:tcBorders>
          </w:tcPr>
          <w:p>
            <w:pPr>
              <w:pStyle w:val="TableText"/>
              <w:ind w:left="237"/>
              <w:spacing w:before="102" w:line="189" w:lineRule="auto"/>
              <w:rPr/>
            </w:pPr>
            <w:r>
              <w:rPr>
                <w:spacing w:val="8"/>
              </w:rPr>
              <w:t>监管警示</w:t>
            </w:r>
          </w:p>
        </w:tc>
        <w:tc>
          <w:tcPr>
            <w:tcW w:w="5253" w:type="dxa"/>
            <w:vAlign w:val="top"/>
            <w:tcBorders>
              <w:top w:val="single" w:color="FFFFFF" w:sz="2" w:space="0"/>
            </w:tcBorders>
          </w:tcPr>
          <w:p>
            <w:pPr>
              <w:pStyle w:val="TableText"/>
              <w:ind w:left="4" w:right="199" w:hanging="1"/>
              <w:spacing w:before="100" w:line="220" w:lineRule="auto"/>
              <w:rPr/>
            </w:pPr>
            <w:r>
              <w:rPr>
                <w:spacing w:val="7"/>
              </w:rPr>
              <w:t>公司未按已公开披露的</w:t>
            </w:r>
            <w:r>
              <w:rPr>
                <w:b/>
                <w:bCs/>
                <w:spacing w:val="7"/>
              </w:rPr>
              <w:t>股份回购方案实施回购</w:t>
            </w:r>
            <w:r>
              <w:rPr>
                <w:spacing w:val="7"/>
              </w:rPr>
              <w:t>， 影响投</w:t>
            </w:r>
            <w:r>
              <w:rPr/>
              <w:t xml:space="preserve"> </w:t>
            </w:r>
            <w:r>
              <w:rPr>
                <w:spacing w:val="8"/>
              </w:rPr>
              <w:t>资者的合理预期。</w:t>
            </w:r>
          </w:p>
        </w:tc>
      </w:tr>
      <w:tr>
        <w:trPr>
          <w:trHeight w:val="363" w:hRule="atLeast"/>
        </w:trPr>
        <w:tc>
          <w:tcPr>
            <w:shd w:val="clear" w:fill="F2DCDC"/>
            <w:tcW w:w="1375" w:type="dxa"/>
            <w:vAlign w:val="top"/>
          </w:tcPr>
          <w:p>
            <w:pPr>
              <w:pStyle w:val="TableText"/>
              <w:ind w:left="320"/>
              <w:spacing w:before="101" w:line="176" w:lineRule="auto"/>
              <w:rPr/>
            </w:pPr>
            <w:r>
              <w:rPr>
                <w:spacing w:val="3"/>
              </w:rPr>
              <w:t>600078</w:t>
            </w:r>
          </w:p>
        </w:tc>
        <w:tc>
          <w:tcPr>
            <w:shd w:val="clear" w:fill="F2DCDC"/>
            <w:tcW w:w="1215" w:type="dxa"/>
            <w:vAlign w:val="top"/>
          </w:tcPr>
          <w:p>
            <w:pPr>
              <w:pStyle w:val="TableText"/>
              <w:ind w:left="178"/>
              <w:spacing w:before="88" w:line="185" w:lineRule="auto"/>
              <w:rPr/>
            </w:pPr>
            <w:r>
              <w:rPr>
                <w:spacing w:val="8"/>
              </w:rPr>
              <w:t>澄星股份</w:t>
            </w:r>
          </w:p>
        </w:tc>
        <w:tc>
          <w:tcPr>
            <w:shd w:val="clear" w:fill="F2DCDC"/>
            <w:tcW w:w="1324" w:type="dxa"/>
            <w:vAlign w:val="top"/>
          </w:tcPr>
          <w:p>
            <w:pPr>
              <w:pStyle w:val="TableText"/>
              <w:ind w:left="237"/>
              <w:spacing w:before="87" w:line="186" w:lineRule="auto"/>
              <w:rPr/>
            </w:pPr>
            <w:r>
              <w:rPr>
                <w:spacing w:val="8"/>
              </w:rPr>
              <w:t>监管警示</w:t>
            </w:r>
          </w:p>
        </w:tc>
        <w:tc>
          <w:tcPr>
            <w:shd w:val="clear" w:fill="F2DCDC"/>
            <w:tcW w:w="5253" w:type="dxa"/>
            <w:vAlign w:val="top"/>
          </w:tcPr>
          <w:p>
            <w:pPr>
              <w:pStyle w:val="TableText"/>
              <w:ind w:left="3"/>
              <w:spacing w:before="85" w:line="187" w:lineRule="auto"/>
              <w:rPr/>
            </w:pPr>
            <w:r>
              <w:rPr>
                <w:spacing w:val="9"/>
              </w:rPr>
              <w:t>公司多年</w:t>
            </w:r>
            <w:r>
              <w:rPr>
                <w:b/>
                <w:bCs/>
                <w:spacing w:val="9"/>
              </w:rPr>
              <w:t>日常关联交易</w:t>
            </w:r>
            <w:r>
              <w:rPr>
                <w:spacing w:val="9"/>
              </w:rPr>
              <w:t>未及时披露也未履行审议程序。</w:t>
            </w:r>
          </w:p>
        </w:tc>
      </w:tr>
      <w:tr>
        <w:trPr>
          <w:trHeight w:val="1087" w:hRule="atLeast"/>
        </w:trPr>
        <w:tc>
          <w:tcPr>
            <w:tcW w:w="1375" w:type="dxa"/>
            <w:vAlign w:val="top"/>
          </w:tcPr>
          <w:p>
            <w:pPr>
              <w:pStyle w:val="TableText"/>
              <w:ind w:left="320"/>
              <w:spacing w:before="102" w:line="178" w:lineRule="auto"/>
              <w:rPr/>
            </w:pPr>
            <w:r>
              <w:rPr>
                <w:spacing w:val="3"/>
              </w:rPr>
              <w:t>603353</w:t>
            </w:r>
          </w:p>
        </w:tc>
        <w:tc>
          <w:tcPr>
            <w:tcW w:w="1215" w:type="dxa"/>
            <w:vAlign w:val="top"/>
          </w:tcPr>
          <w:p>
            <w:pPr>
              <w:pStyle w:val="TableText"/>
              <w:ind w:left="178"/>
              <w:spacing w:before="89" w:line="188" w:lineRule="auto"/>
              <w:rPr/>
            </w:pPr>
            <w:r>
              <w:rPr>
                <w:spacing w:val="8"/>
              </w:rPr>
              <w:t>和顺石油</w:t>
            </w:r>
          </w:p>
        </w:tc>
        <w:tc>
          <w:tcPr>
            <w:tcW w:w="1324" w:type="dxa"/>
            <w:vAlign w:val="top"/>
          </w:tcPr>
          <w:p>
            <w:pPr>
              <w:pStyle w:val="TableText"/>
              <w:ind w:left="235"/>
              <w:spacing w:before="89" w:line="188" w:lineRule="auto"/>
              <w:rPr/>
            </w:pPr>
            <w:r>
              <w:rPr>
                <w:spacing w:val="8"/>
              </w:rPr>
              <w:t>通报批评</w:t>
            </w:r>
          </w:p>
        </w:tc>
        <w:tc>
          <w:tcPr>
            <w:tcW w:w="5253" w:type="dxa"/>
            <w:vAlign w:val="top"/>
          </w:tcPr>
          <w:p>
            <w:pPr>
              <w:pStyle w:val="TableText"/>
              <w:ind w:left="3" w:right="199" w:firstLine="1"/>
              <w:spacing w:before="86" w:line="231" w:lineRule="auto"/>
              <w:jc w:val="both"/>
              <w:rPr/>
            </w:pPr>
            <w:r>
              <w:rPr>
                <w:spacing w:val="7"/>
              </w:rPr>
              <w:t>董事前期已披露其配偶</w:t>
            </w:r>
            <w:r>
              <w:rPr>
                <w:b/>
                <w:bCs/>
                <w:spacing w:val="7"/>
              </w:rPr>
              <w:t>短线交易</w:t>
            </w:r>
            <w:r>
              <w:rPr>
                <w:spacing w:val="7"/>
              </w:rPr>
              <w:t>的情况， 但未在相</w:t>
            </w:r>
            <w:r>
              <w:rPr>
                <w:spacing w:val="6"/>
              </w:rPr>
              <w:t>关公</w:t>
            </w:r>
            <w:r>
              <w:rPr/>
              <w:t xml:space="preserve"> </w:t>
            </w:r>
            <w:r>
              <w:rPr>
                <w:spacing w:val="7"/>
              </w:rPr>
              <w:t>告中如实披露</w:t>
            </w:r>
            <w:r>
              <w:rPr>
                <w:b/>
                <w:bCs/>
                <w:spacing w:val="7"/>
              </w:rPr>
              <w:t>其父亲在同一时期短线交易</w:t>
            </w:r>
            <w:r>
              <w:rPr>
                <w:spacing w:val="7"/>
              </w:rPr>
              <w:t>的情况， 存在</w:t>
            </w:r>
            <w:r>
              <w:rPr/>
              <w:t xml:space="preserve"> </w:t>
            </w:r>
            <w:r>
              <w:rPr>
                <w:spacing w:val="8"/>
              </w:rPr>
              <w:t>信息披露不完整。</w:t>
            </w:r>
          </w:p>
        </w:tc>
      </w:tr>
    </w:tbl>
    <w:p>
      <w:pPr>
        <w:pStyle w:val="BodyText"/>
        <w:spacing w:line="354" w:lineRule="auto"/>
        <w:rPr/>
      </w:pPr>
      <w:r/>
    </w:p>
    <w:p>
      <w:pPr>
        <w:ind w:left="315"/>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2"/>
        </w:rPr>
        <w:t>（2） 问询函统计</w:t>
      </w:r>
    </w:p>
    <w:p>
      <w:pPr>
        <w:ind w:left="491"/>
        <w:spacing w:before="149" w:line="18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3"/>
        </w:rPr>
        <w:t>2024年8月19日-8月25日， 上交所官网披露了1份问询函， 1份重大资产</w:t>
      </w:r>
      <w:r>
        <w:rPr>
          <w:rFonts w:ascii="Microsoft YaHei" w:hAnsi="Microsoft YaHei" w:eastAsia="Microsoft YaHei" w:cs="Microsoft YaHei"/>
          <w:sz w:val="24"/>
          <w:szCs w:val="24"/>
          <w:spacing w:val="-4"/>
        </w:rPr>
        <w:t>重组预案审核意见函。</w:t>
      </w:r>
    </w:p>
    <w:p>
      <w:pPr>
        <w:spacing w:line="230" w:lineRule="exact"/>
        <w:rPr/>
      </w:pPr>
      <w:r/>
    </w:p>
    <w:tbl>
      <w:tblPr>
        <w:tblStyle w:val="TableNormal"/>
        <w:tblW w:w="9216" w:type="dxa"/>
        <w:tblInd w:w="826"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673"/>
        <w:gridCol w:w="1215"/>
        <w:gridCol w:w="6328"/>
      </w:tblGrid>
      <w:tr>
        <w:trPr>
          <w:trHeight w:val="374" w:hRule="atLeast"/>
        </w:trPr>
        <w:tc>
          <w:tcPr>
            <w:shd w:val="clear" w:fill="C0504D"/>
            <w:tcW w:w="1673" w:type="dxa"/>
            <w:vAlign w:val="top"/>
            <w:tcBorders>
              <w:bottom w:val="single" w:color="FFFFFF" w:sz="10" w:space="0"/>
            </w:tcBorders>
          </w:tcPr>
          <w:p>
            <w:pPr>
              <w:pStyle w:val="TableText"/>
              <w:ind w:left="412"/>
              <w:spacing w:before="90" w:line="189" w:lineRule="auto"/>
              <w:rPr/>
            </w:pPr>
            <w:r>
              <w:rPr>
                <w:b/>
                <w:bCs/>
                <w:color w:val="FFFFFF"/>
                <w:spacing w:val="8"/>
              </w:rPr>
              <w:t>公司代码</w:t>
            </w:r>
          </w:p>
        </w:tc>
        <w:tc>
          <w:tcPr>
            <w:shd w:val="clear" w:fill="C0504D"/>
            <w:tcW w:w="1215" w:type="dxa"/>
            <w:vAlign w:val="top"/>
            <w:tcBorders>
              <w:bottom w:val="single" w:color="FFFFFF" w:sz="10" w:space="0"/>
            </w:tcBorders>
          </w:tcPr>
          <w:p>
            <w:pPr>
              <w:pStyle w:val="TableText"/>
              <w:ind w:left="179"/>
              <w:spacing w:before="90" w:line="189" w:lineRule="auto"/>
              <w:rPr/>
            </w:pPr>
            <w:r>
              <w:rPr>
                <w:b/>
                <w:bCs/>
                <w:color w:val="FFFFFF"/>
                <w:spacing w:val="8"/>
              </w:rPr>
              <w:t>公司简称</w:t>
            </w:r>
          </w:p>
        </w:tc>
        <w:tc>
          <w:tcPr>
            <w:shd w:val="clear" w:fill="C0504D"/>
            <w:tcW w:w="6328" w:type="dxa"/>
            <w:vAlign w:val="top"/>
            <w:tcBorders>
              <w:bottom w:val="single" w:color="FFFFFF" w:sz="10" w:space="0"/>
            </w:tcBorders>
          </w:tcPr>
          <w:p>
            <w:pPr>
              <w:pStyle w:val="TableText"/>
              <w:ind w:left="2747"/>
              <w:spacing w:before="92" w:line="188" w:lineRule="auto"/>
              <w:rPr/>
            </w:pPr>
            <w:r>
              <w:rPr>
                <w:b/>
                <w:bCs/>
                <w:color w:val="FFFFFF"/>
                <w:spacing w:val="5"/>
              </w:rPr>
              <w:t>函件类别</w:t>
            </w:r>
          </w:p>
        </w:tc>
      </w:tr>
      <w:tr>
        <w:trPr>
          <w:trHeight w:val="355" w:hRule="atLeast"/>
        </w:trPr>
        <w:tc>
          <w:tcPr>
            <w:tcW w:w="1673" w:type="dxa"/>
            <w:vAlign w:val="top"/>
            <w:tcBorders>
              <w:top w:val="single" w:color="FFFFFF" w:sz="10" w:space="0"/>
            </w:tcBorders>
          </w:tcPr>
          <w:p>
            <w:pPr>
              <w:pStyle w:val="TableText"/>
              <w:ind w:left="468"/>
              <w:spacing w:before="97" w:line="173" w:lineRule="auto"/>
              <w:rPr/>
            </w:pPr>
            <w:r>
              <w:rPr>
                <w:spacing w:val="3"/>
              </w:rPr>
              <w:t>600777</w:t>
            </w:r>
          </w:p>
        </w:tc>
        <w:tc>
          <w:tcPr>
            <w:tcW w:w="1215" w:type="dxa"/>
            <w:vAlign w:val="top"/>
            <w:tcBorders>
              <w:top w:val="single" w:color="FFFFFF" w:sz="10" w:space="0"/>
            </w:tcBorders>
          </w:tcPr>
          <w:p>
            <w:pPr>
              <w:pStyle w:val="TableText"/>
              <w:ind w:left="277"/>
              <w:spacing w:before="83" w:line="183" w:lineRule="auto"/>
              <w:rPr/>
            </w:pPr>
            <w:r>
              <w:rPr/>
              <w:t>ST</w:t>
            </w:r>
            <w:r>
              <w:rPr>
                <w:spacing w:val="8"/>
              </w:rPr>
              <w:t>新潮</w:t>
            </w:r>
          </w:p>
        </w:tc>
        <w:tc>
          <w:tcPr>
            <w:tcW w:w="6328" w:type="dxa"/>
            <w:vAlign w:val="top"/>
            <w:tcBorders>
              <w:top w:val="single" w:color="FFFFFF" w:sz="10" w:space="0"/>
            </w:tcBorders>
          </w:tcPr>
          <w:p>
            <w:pPr>
              <w:pStyle w:val="TableText"/>
              <w:ind w:left="2852"/>
              <w:spacing w:before="81" w:line="184" w:lineRule="auto"/>
              <w:rPr/>
            </w:pPr>
            <w:r>
              <w:rPr>
                <w:spacing w:val="4"/>
              </w:rPr>
              <w:t>问询函</w:t>
            </w:r>
          </w:p>
        </w:tc>
      </w:tr>
      <w:tr>
        <w:trPr>
          <w:trHeight w:val="371" w:hRule="atLeast"/>
        </w:trPr>
        <w:tc>
          <w:tcPr>
            <w:shd w:val="clear" w:fill="F2DCDC"/>
            <w:tcW w:w="1673" w:type="dxa"/>
            <w:vAlign w:val="top"/>
          </w:tcPr>
          <w:p>
            <w:pPr>
              <w:pStyle w:val="TableText"/>
              <w:ind w:left="468"/>
              <w:spacing w:before="106" w:line="178" w:lineRule="auto"/>
              <w:rPr/>
            </w:pPr>
            <w:r>
              <w:rPr>
                <w:spacing w:val="3"/>
              </w:rPr>
              <w:t>600246</w:t>
            </w:r>
          </w:p>
        </w:tc>
        <w:tc>
          <w:tcPr>
            <w:shd w:val="clear" w:fill="F2DCDC"/>
            <w:tcW w:w="1215" w:type="dxa"/>
            <w:vAlign w:val="top"/>
          </w:tcPr>
          <w:p>
            <w:pPr>
              <w:pStyle w:val="TableText"/>
              <w:ind w:left="179"/>
              <w:spacing w:before="92" w:line="188" w:lineRule="auto"/>
              <w:rPr/>
            </w:pPr>
            <w:r>
              <w:rPr>
                <w:spacing w:val="8"/>
              </w:rPr>
              <w:t>万通发展</w:t>
            </w:r>
          </w:p>
        </w:tc>
        <w:tc>
          <w:tcPr>
            <w:shd w:val="clear" w:fill="F2DCDC"/>
            <w:tcW w:w="6328" w:type="dxa"/>
            <w:vAlign w:val="top"/>
          </w:tcPr>
          <w:p>
            <w:pPr>
              <w:pStyle w:val="TableText"/>
              <w:ind w:left="1791"/>
              <w:spacing w:before="90" w:line="189" w:lineRule="auto"/>
              <w:rPr/>
            </w:pPr>
            <w:r>
              <w:rPr>
                <w:spacing w:val="9"/>
              </w:rPr>
              <w:t>重大资产重组预案审核意见函</w:t>
            </w:r>
          </w:p>
        </w:tc>
      </w:tr>
    </w:tbl>
    <w:p>
      <w:pPr>
        <w:pStyle w:val="BodyText"/>
        <w:spacing w:line="313" w:lineRule="auto"/>
        <w:rPr/>
      </w:pPr>
      <w:r/>
    </w:p>
    <w:p>
      <w:pPr>
        <w:ind w:left="530"/>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2"/>
        </w:rPr>
        <w:t>2、市场交易监管动态</w:t>
      </w:r>
    </w:p>
    <w:p>
      <w:pPr>
        <w:ind w:firstLine="491"/>
        <w:spacing w:before="133" w:line="36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2"/>
        </w:rPr>
        <w:t>2024年8月19日-8月25日， 上交所对59起拉抬打压、虚假申报等证券异常交易行为采取了书面警示</w:t>
      </w:r>
      <w:r>
        <w:rPr>
          <w:rFonts w:ascii="Microsoft YaHei" w:hAnsi="Microsoft YaHei" w:eastAsia="Microsoft YaHei" w:cs="Microsoft YaHei"/>
          <w:sz w:val="24"/>
          <w:szCs w:val="24"/>
          <w:spacing w:val="14"/>
        </w:rPr>
        <w:t xml:space="preserve"> </w:t>
      </w:r>
      <w:r>
        <w:rPr>
          <w:rFonts w:ascii="Microsoft YaHei" w:hAnsi="Microsoft YaHei" w:eastAsia="Microsoft YaHei" w:cs="Microsoft YaHei"/>
          <w:sz w:val="24"/>
          <w:szCs w:val="24"/>
          <w:spacing w:val="-3"/>
        </w:rPr>
        <w:t>等监管措施， 对19起上市公司重大事项等进行专项核查， 向证监会上报涉嫌违法违规案件</w:t>
      </w:r>
      <w:r>
        <w:rPr>
          <w:rFonts w:ascii="Microsoft YaHei" w:hAnsi="Microsoft YaHei" w:eastAsia="Microsoft YaHei" w:cs="Microsoft YaHei"/>
          <w:sz w:val="24"/>
          <w:szCs w:val="24"/>
          <w:spacing w:val="-4"/>
        </w:rPr>
        <w:t>线索4起。</w:t>
      </w:r>
    </w:p>
    <w:p>
      <w:pPr>
        <w:spacing w:line="360" w:lineRule="auto"/>
        <w:sectPr>
          <w:headerReference w:type="default" r:id="rId2"/>
          <w:pgSz w:w="11910" w:h="16840"/>
          <w:pgMar w:top="400" w:right="558" w:bottom="0" w:left="442" w:header="0" w:footer="0" w:gutter="0"/>
        </w:sectPr>
        <w:rPr>
          <w:rFonts w:ascii="Microsoft YaHei" w:hAnsi="Microsoft YaHei" w:eastAsia="Microsoft YaHei" w:cs="Microsoft YaHei"/>
          <w:sz w:val="24"/>
          <w:szCs w:val="24"/>
        </w:rPr>
      </w:pPr>
    </w:p>
    <w:p>
      <w:pPr>
        <w:ind w:firstLine="2"/>
        <w:spacing w:line="1137" w:lineRule="exact"/>
        <w:rPr/>
      </w:pPr>
      <w:r>
        <w:rPr>
          <w:position w:val="-22"/>
        </w:rPr>
        <w:pict>
          <v:group id="_x0000_s34" style="mso-position-vertical-relative:line;mso-position-horizontal-relative:char;width:67.85pt;height:56.9pt;" filled="false" stroked="false" coordsize="1356,1138" coordorigin="0,0">
            <v:shape id="_x0000_s36" style="position:absolute;left:0;top:0;width:1356;height:1138;" fillcolor="#A61C1F" filled="true" stroked="false" coordsize="1356,1138" coordorigin="0,0" path="m,l1356,0l1356,1137l0,1137l0,0xe"/>
            <v:shape id="_x0000_s38" style="position:absolute;left:237;top:112;width:819;height:913;" fillcolor="#FFFFFF" filled="true" stroked="false" coordsize="819,913" coordorigin="0,0" path="m594,777l223,777l213,771l213,731l223,725l594,725l604,731l604,771l594,777xm582,708l237,708l225,699l225,688l213,635l180,584l136,533l88,480l45,424l12,362l0,298l0,291l5,238l22,188l50,144l84,106l127,73l176,47l230,26l287,11l347,3l409,0l470,3l530,11l587,26l641,47l690,73l733,106l736,109l366,109l358,117l358,125l354,149l353,152l233,152l202,176l190,186l177,195l172,200l172,209l177,215l207,243l210,245l210,249l202,259l196,269l190,280l185,291l185,292l183,292l182,294l170,294l124,298l116,303l116,371l124,375l136,377l182,382l183,382l185,383l185,385l190,395l196,406l202,416l210,426l210,429l200,438l192,445l177,460l172,466l172,474l177,480l225,517l233,522l353,522l356,539l358,549l358,559l366,565l648,565l637,578l604,630l592,688l592,699l582,708xm526,183l523,182l497,172l483,168l469,165l467,165l467,163l466,160l466,149l462,137l462,125l459,117l452,109l736,109l768,144l773,152l587,152l574,154l567,158l530,182l528,182l526,183xm293,183l292,182l290,182l280,176l270,170l262,164l252,158l243,154l233,152l353,152l352,160l352,163l350,165l348,165l334,168l322,172l307,177l294,182l293,183xm686,522l587,522l648,474l646,466l640,460l626,445l617,438l608,429l608,428l610,426l617,416l622,406l627,395l632,385l632,383l634,382l638,382l683,377l693,375l703,371l703,303l693,298l683,297l648,294l638,294l634,292l632,292l632,291l627,280l622,269l617,259l610,249l608,248l608,245l610,243l640,215l646,209l648,200l640,195l628,186l617,176l592,158l587,152l773,152l796,188l813,238l818,291l818,298l806,362l773,422l730,476l686,522xm410,448l354,439l308,415l278,380l267,337l278,295l308,260l354,236l410,228l464,236l509,260l539,295l550,337l539,380l509,415l464,439l410,448xm353,522l243,522l252,515l262,511l270,505l280,500l290,494l292,492l294,492l307,498l322,503l334,506l348,509l352,512l352,515l353,522xm648,565l452,565l459,559l462,549l462,539l466,526l466,514l467,512l467,511l469,509l497,503l510,498l523,492l528,492l530,494l539,500l548,505l557,511l567,515l574,522l686,522l681,527l648,565xm560,912l257,912l247,906l247,865l257,859l560,859l570,865l570,906l560,912xm582,845l235,845l227,839l227,797l235,791l582,791l592,797l592,839l582,845e"/>
          </v:group>
        </w:pict>
      </w:r>
    </w:p>
    <w:p>
      <w:pPr>
        <w:pStyle w:val="BodyText"/>
        <w:spacing w:line="14" w:lineRule="auto"/>
        <w:rPr>
          <w:sz w:val="2"/>
        </w:rPr>
      </w:pPr>
      <w:r>
        <w:rPr>
          <w:sz w:val="2"/>
          <w:szCs w:val="2"/>
        </w:rPr>
        <w:br w:type="column"/>
      </w:r>
    </w:p>
    <w:p>
      <w:pPr>
        <w:spacing w:before="302" w:line="186"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7"/>
        </w:rPr>
        <w:t>监管动态</w:t>
      </w:r>
    </w:p>
    <w:p>
      <w:pPr>
        <w:spacing w:line="186" w:lineRule="auto"/>
        <w:sectPr>
          <w:pgSz w:w="11910" w:h="16840"/>
          <w:pgMar w:top="9" w:right="59" w:bottom="0" w:left="12" w:header="0" w:footer="0" w:gutter="0"/>
          <w:cols w:equalWidth="0" w:num="2">
            <w:col w:w="1556" w:space="100"/>
            <w:col w:w="10184" w:space="0"/>
          </w:cols>
        </w:sectPr>
        <w:rPr>
          <w:rFonts w:ascii="Microsoft YaHei" w:hAnsi="Microsoft YaHei" w:eastAsia="Microsoft YaHei" w:cs="Microsoft YaHei"/>
          <w:sz w:val="43"/>
          <w:szCs w:val="43"/>
        </w:rPr>
      </w:pPr>
    </w:p>
    <w:p>
      <w:pPr>
        <w:pStyle w:val="BodyText"/>
        <w:spacing w:line="384" w:lineRule="auto"/>
        <w:rPr/>
      </w:pPr>
      <w:r>
        <w:drawing>
          <wp:anchor distT="0" distB="0" distL="0" distR="0" simplePos="0" relativeHeight="251676672" behindDoc="0" locked="0" layoutInCell="1" allowOverlap="1">
            <wp:simplePos x="0" y="0"/>
            <wp:positionH relativeFrom="column">
              <wp:posOffset>842645</wp:posOffset>
            </wp:positionH>
            <wp:positionV relativeFrom="paragraph">
              <wp:posOffset>-34658</wp:posOffset>
            </wp:positionV>
            <wp:extent cx="6675119" cy="32245"/>
            <wp:effectExtent l="0" t="0" r="0" b="0"/>
            <wp:wrapNone/>
            <wp:docPr id="24" name="IM 24"/>
            <wp:cNvGraphicFramePr/>
            <a:graphic>
              <a:graphicData uri="http://schemas.openxmlformats.org/drawingml/2006/picture">
                <pic:pic>
                  <pic:nvPicPr>
                    <pic:cNvPr id="24" name="IM 24"/>
                    <pic:cNvPicPr/>
                  </pic:nvPicPr>
                  <pic:blipFill>
                    <a:blip r:embed="rId16"/>
                    <a:stretch>
                      <a:fillRect/>
                    </a:stretch>
                  </pic:blipFill>
                  <pic:spPr>
                    <a:xfrm rot="0">
                      <a:off x="0" y="0"/>
                      <a:ext cx="6675119" cy="32245"/>
                    </a:xfrm>
                    <a:prstGeom prst="rect">
                      <a:avLst/>
                    </a:prstGeom>
                  </pic:spPr>
                </pic:pic>
              </a:graphicData>
            </a:graphic>
          </wp:anchor>
        </w:drawing>
      </w:r>
      <w:r/>
    </w:p>
    <w:p>
      <w:pPr>
        <w:spacing w:line="924" w:lineRule="exact"/>
        <w:rPr/>
      </w:pPr>
      <w:r>
        <w:rPr>
          <w:position w:val="-18"/>
        </w:rPr>
        <w:pict>
          <v:group id="_x0000_s40" style="mso-position-vertical-relative:line;mso-position-horizontal-relative:char;width:134.8pt;height:46.25pt;" filled="false" stroked="false" coordsize="2696,925" coordorigin="0,0">
            <v:shape id="_x0000_s42" style="position:absolute;left:0;top:0;width:2696;height:925;" filled="false" stroked="false" type="#_x0000_t75">
              <v:imagedata o:title="" r:id="rId14"/>
            </v:shape>
            <v:shape id="_x0000_s44" style="position:absolute;left:-20;top:-20;width:2736;height:965;" filled="false" stroked="false" type="#_x0000_t202">
              <v:fill on="false"/>
              <v:stroke on="false"/>
              <v:path/>
              <v:imagedata o:title=""/>
              <o:lock v:ext="edit" aspectratio="false"/>
              <v:textbox inset="0mm,0mm,0mm,0mm">
                <w:txbxContent>
                  <w:p>
                    <w:pPr>
                      <w:ind w:left="364"/>
                      <w:spacing w:before="282" w:line="183"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1"/>
                      </w:rPr>
                      <w:t>深交所监管动态</w:t>
                    </w:r>
                  </w:p>
                </w:txbxContent>
              </v:textbox>
            </v:shape>
          </v:group>
        </w:pict>
      </w:r>
    </w:p>
    <w:p>
      <w:pPr>
        <w:pStyle w:val="BodyText"/>
        <w:spacing w:line="323" w:lineRule="auto"/>
        <w:rPr/>
      </w:pPr>
      <w:r/>
    </w:p>
    <w:p>
      <w:pPr>
        <w:ind w:left="890"/>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6"/>
        </w:rPr>
        <w:t>1、上市公司监管动态</w:t>
      </w:r>
    </w:p>
    <w:p>
      <w:pPr>
        <w:ind w:left="921"/>
        <w:spacing w:before="17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4"/>
        </w:rPr>
        <w:t>2024年8月19日-8月25日， 深交所发出7份监管函， 8份纪律处分措施。</w:t>
      </w:r>
    </w:p>
    <w:p>
      <w:pPr>
        <w:pStyle w:val="BodyText"/>
        <w:spacing w:line="413" w:lineRule="auto"/>
        <w:rPr/>
      </w:pPr>
      <w:r/>
    </w:p>
    <w:p>
      <w:pPr>
        <w:ind w:firstLine="1268"/>
        <w:spacing w:line="4431" w:lineRule="exact"/>
        <w:rPr/>
      </w:pPr>
      <w:r>
        <w:rPr>
          <w:position w:val="-88"/>
        </w:rPr>
        <w:drawing>
          <wp:inline distT="0" distB="0" distL="0" distR="0">
            <wp:extent cx="5811520" cy="2813685"/>
            <wp:effectExtent l="0" t="0" r="0" b="0"/>
            <wp:docPr id="26" name="IM 26"/>
            <wp:cNvGraphicFramePr/>
            <a:graphic>
              <a:graphicData uri="http://schemas.openxmlformats.org/drawingml/2006/picture">
                <pic:pic>
                  <pic:nvPicPr>
                    <pic:cNvPr id="26" name="IM 26"/>
                    <pic:cNvPicPr/>
                  </pic:nvPicPr>
                  <pic:blipFill>
                    <a:blip r:embed="rId17"/>
                    <a:stretch>
                      <a:fillRect/>
                    </a:stretch>
                  </pic:blipFill>
                  <pic:spPr>
                    <a:xfrm rot="0">
                      <a:off x="0" y="0"/>
                      <a:ext cx="5811520" cy="2813685"/>
                    </a:xfrm>
                    <a:prstGeom prst="rect">
                      <a:avLst/>
                    </a:prstGeom>
                  </pic:spPr>
                </pic:pic>
              </a:graphicData>
            </a:graphic>
          </wp:inline>
        </w:drawing>
      </w:r>
    </w:p>
    <w:p>
      <w:pPr>
        <w:pStyle w:val="BodyText"/>
        <w:rPr/>
      </w:pPr>
      <w:r/>
    </w:p>
    <w:p>
      <w:pPr>
        <w:ind w:left="745"/>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9"/>
        </w:rPr>
        <w:t>（1） 纪律处分及监管措施</w:t>
      </w:r>
    </w:p>
    <w:p>
      <w:pPr>
        <w:spacing w:line="173" w:lineRule="exact"/>
        <w:rPr/>
      </w:pPr>
      <w:r/>
    </w:p>
    <w:tbl>
      <w:tblPr>
        <w:tblStyle w:val="TableNormal"/>
        <w:tblW w:w="9016" w:type="dxa"/>
        <w:tblInd w:w="1334"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641" w:hRule="atLeast"/>
        </w:trPr>
        <w:tc>
          <w:tcPr>
            <w:shd w:val="clear" w:fill="4BACC6"/>
            <w:tcW w:w="1471" w:type="dxa"/>
            <w:vAlign w:val="top"/>
          </w:tcPr>
          <w:p>
            <w:pPr>
              <w:pStyle w:val="TableText"/>
              <w:ind w:left="296"/>
              <w:spacing w:before="94" w:line="183" w:lineRule="auto"/>
              <w:rPr>
                <w:sz w:val="22"/>
                <w:szCs w:val="22"/>
              </w:rPr>
            </w:pPr>
            <w:r>
              <w:rPr>
                <w:sz w:val="22"/>
                <w:szCs w:val="22"/>
                <w:b/>
                <w:bCs/>
                <w:color w:val="FFFFFF"/>
                <w:spacing w:val="-1"/>
              </w:rPr>
              <w:t>公司代码</w:t>
            </w:r>
          </w:p>
        </w:tc>
        <w:tc>
          <w:tcPr>
            <w:shd w:val="clear" w:fill="4BACC6"/>
            <w:tcW w:w="1484" w:type="dxa"/>
            <w:vAlign w:val="top"/>
            <w:tcBorders>
              <w:top w:val="nil"/>
            </w:tcBorders>
          </w:tcPr>
          <w:p>
            <w:pPr>
              <w:pStyle w:val="TableText"/>
              <w:ind w:left="301"/>
              <w:spacing w:before="94" w:line="183" w:lineRule="auto"/>
              <w:rPr>
                <w:sz w:val="22"/>
                <w:szCs w:val="22"/>
              </w:rPr>
            </w:pPr>
            <w:r>
              <w:rPr>
                <w:sz w:val="22"/>
                <w:szCs w:val="22"/>
                <w:b/>
                <w:bCs/>
                <w:color w:val="FFFFFF"/>
                <w:spacing w:val="-1"/>
              </w:rPr>
              <w:t>公司简称</w:t>
            </w:r>
          </w:p>
        </w:tc>
        <w:tc>
          <w:tcPr>
            <w:shd w:val="clear" w:fill="4BACC6"/>
            <w:tcW w:w="1498" w:type="dxa"/>
            <w:vAlign w:val="top"/>
            <w:tcBorders>
              <w:top w:val="nil"/>
            </w:tcBorders>
          </w:tcPr>
          <w:p>
            <w:pPr>
              <w:pStyle w:val="TableText"/>
              <w:ind w:left="309"/>
              <w:spacing w:before="94" w:line="183" w:lineRule="auto"/>
              <w:rPr>
                <w:sz w:val="22"/>
                <w:szCs w:val="22"/>
              </w:rPr>
            </w:pPr>
            <w:r>
              <w:rPr>
                <w:sz w:val="22"/>
                <w:szCs w:val="22"/>
                <w:b/>
                <w:bCs/>
                <w:color w:val="FFFFFF"/>
                <w:spacing w:val="-1"/>
              </w:rPr>
              <w:t>监管类型</w:t>
            </w:r>
          </w:p>
        </w:tc>
        <w:tc>
          <w:tcPr>
            <w:shd w:val="clear" w:fill="4BACC6"/>
            <w:tcW w:w="4563" w:type="dxa"/>
            <w:vAlign w:val="top"/>
            <w:tcBorders>
              <w:top w:val="nil"/>
            </w:tcBorders>
          </w:tcPr>
          <w:p>
            <w:pPr>
              <w:pStyle w:val="TableText"/>
              <w:ind w:left="1838"/>
              <w:spacing w:before="94" w:line="183" w:lineRule="auto"/>
              <w:rPr>
                <w:sz w:val="22"/>
                <w:szCs w:val="22"/>
              </w:rPr>
            </w:pPr>
            <w:r>
              <w:rPr>
                <w:sz w:val="22"/>
                <w:szCs w:val="22"/>
                <w:b/>
                <w:bCs/>
                <w:color w:val="FFFFFF"/>
                <w:spacing w:val="-1"/>
              </w:rPr>
              <w:t>处理事由</w:t>
            </w:r>
          </w:p>
        </w:tc>
      </w:tr>
      <w:tr>
        <w:trPr>
          <w:trHeight w:val="1085" w:hRule="atLeast"/>
        </w:trPr>
        <w:tc>
          <w:tcPr>
            <w:shd w:val="clear" w:fill="C7DAF1"/>
            <w:tcW w:w="1471" w:type="dxa"/>
            <w:vAlign w:val="top"/>
          </w:tcPr>
          <w:p>
            <w:pPr>
              <w:spacing w:line="369" w:lineRule="auto"/>
              <w:rPr>
                <w:rFonts w:ascii="Arial"/>
                <w:sz w:val="21"/>
              </w:rPr>
            </w:pPr>
            <w:r/>
          </w:p>
          <w:p>
            <w:pPr>
              <w:pStyle w:val="TableText"/>
              <w:ind w:left="379"/>
              <w:spacing w:before="86" w:line="179" w:lineRule="auto"/>
              <w:rPr/>
            </w:pPr>
            <w:r>
              <w:rPr>
                <w:spacing w:val="3"/>
              </w:rPr>
              <w:t>300071</w:t>
            </w:r>
          </w:p>
        </w:tc>
        <w:tc>
          <w:tcPr>
            <w:shd w:val="clear" w:fill="C7DAF1"/>
            <w:tcW w:w="1484" w:type="dxa"/>
            <w:vAlign w:val="top"/>
          </w:tcPr>
          <w:p>
            <w:pPr>
              <w:spacing w:line="356" w:lineRule="auto"/>
              <w:rPr>
                <w:rFonts w:ascii="Arial"/>
                <w:sz w:val="21"/>
              </w:rPr>
            </w:pPr>
            <w:r/>
          </w:p>
          <w:p>
            <w:pPr>
              <w:pStyle w:val="TableText"/>
              <w:ind w:left="319"/>
              <w:spacing w:before="86" w:line="189" w:lineRule="auto"/>
              <w:rPr/>
            </w:pPr>
            <w:r>
              <w:rPr>
                <w:spacing w:val="8"/>
              </w:rPr>
              <w:t>福石控股</w:t>
            </w:r>
          </w:p>
        </w:tc>
        <w:tc>
          <w:tcPr>
            <w:shd w:val="clear" w:fill="C7DAF1"/>
            <w:tcW w:w="1498" w:type="dxa"/>
            <w:vAlign w:val="top"/>
          </w:tcPr>
          <w:p>
            <w:pPr>
              <w:spacing w:line="356" w:lineRule="auto"/>
              <w:rPr>
                <w:rFonts w:ascii="Arial"/>
                <w:sz w:val="21"/>
              </w:rPr>
            </w:pPr>
            <w:r/>
          </w:p>
          <w:p>
            <w:pPr>
              <w:pStyle w:val="TableText"/>
              <w:ind w:left="435"/>
              <w:spacing w:before="86" w:line="189" w:lineRule="auto"/>
              <w:rPr/>
            </w:pPr>
            <w:r>
              <w:rPr>
                <w:spacing w:val="8"/>
              </w:rPr>
              <w:t>监管函</w:t>
            </w:r>
          </w:p>
        </w:tc>
        <w:tc>
          <w:tcPr>
            <w:shd w:val="clear" w:fill="C7DAF1"/>
            <w:tcW w:w="4563" w:type="dxa"/>
            <w:vAlign w:val="top"/>
          </w:tcPr>
          <w:p>
            <w:pPr>
              <w:pStyle w:val="TableText"/>
              <w:ind w:left="109" w:right="253"/>
              <w:spacing w:before="86" w:line="250" w:lineRule="auto"/>
              <w:rPr/>
            </w:pPr>
            <w:r>
              <w:rPr>
                <w:spacing w:val="9"/>
              </w:rPr>
              <w:t>公司在业绩预告中预计的净利润与年度报告披</w:t>
            </w:r>
            <w:r>
              <w:rPr>
                <w:spacing w:val="14"/>
              </w:rPr>
              <w:t xml:space="preserve"> </w:t>
            </w:r>
            <w:r>
              <w:rPr>
                <w:spacing w:val="6"/>
              </w:rPr>
              <w:t>露的净利润</w:t>
            </w:r>
            <w:r>
              <w:rPr>
                <w:b/>
                <w:bCs/>
                <w:spacing w:val="6"/>
              </w:rPr>
              <w:t>差异较大</w:t>
            </w:r>
            <w:r>
              <w:rPr>
                <w:spacing w:val="6"/>
              </w:rPr>
              <w:t>， 且未及时披露</w:t>
            </w:r>
            <w:r>
              <w:rPr>
                <w:b/>
                <w:bCs/>
                <w:spacing w:val="6"/>
              </w:rPr>
              <w:t>修正公</w:t>
            </w:r>
          </w:p>
          <w:p>
            <w:pPr>
              <w:pStyle w:val="TableText"/>
              <w:ind w:left="111"/>
              <w:spacing w:before="6" w:line="187" w:lineRule="auto"/>
              <w:rPr/>
            </w:pPr>
            <w:r>
              <w:rPr>
                <w:b/>
                <w:bCs/>
                <w:spacing w:val="1"/>
              </w:rPr>
              <w:t>告</w:t>
            </w:r>
            <w:r>
              <w:rPr>
                <w:spacing w:val="1"/>
              </w:rPr>
              <w:t>。</w:t>
            </w:r>
          </w:p>
        </w:tc>
      </w:tr>
      <w:tr>
        <w:trPr>
          <w:trHeight w:val="1084" w:hRule="atLeast"/>
        </w:trPr>
        <w:tc>
          <w:tcPr>
            <w:tcW w:w="1471" w:type="dxa"/>
            <w:vAlign w:val="top"/>
          </w:tcPr>
          <w:p>
            <w:pPr>
              <w:spacing w:line="373" w:lineRule="auto"/>
              <w:rPr>
                <w:rFonts w:ascii="Arial"/>
                <w:sz w:val="21"/>
              </w:rPr>
            </w:pPr>
            <w:r/>
          </w:p>
          <w:p>
            <w:pPr>
              <w:pStyle w:val="TableText"/>
              <w:ind w:left="379"/>
              <w:spacing w:before="85" w:line="178" w:lineRule="auto"/>
              <w:rPr/>
            </w:pPr>
            <w:r>
              <w:rPr>
                <w:spacing w:val="3"/>
              </w:rPr>
              <w:t>300883</w:t>
            </w:r>
          </w:p>
        </w:tc>
        <w:tc>
          <w:tcPr>
            <w:tcW w:w="1484" w:type="dxa"/>
            <w:vAlign w:val="top"/>
          </w:tcPr>
          <w:p>
            <w:pPr>
              <w:spacing w:line="358" w:lineRule="auto"/>
              <w:rPr>
                <w:rFonts w:ascii="Arial"/>
                <w:sz w:val="21"/>
              </w:rPr>
            </w:pPr>
            <w:r/>
          </w:p>
          <w:p>
            <w:pPr>
              <w:pStyle w:val="TableText"/>
              <w:ind w:left="423"/>
              <w:spacing w:before="86" w:line="189" w:lineRule="auto"/>
              <w:rPr/>
            </w:pPr>
            <w:r>
              <w:rPr>
                <w:spacing w:val="9"/>
              </w:rPr>
              <w:t>龙利得</w:t>
            </w:r>
          </w:p>
        </w:tc>
        <w:tc>
          <w:tcPr>
            <w:tcW w:w="1498" w:type="dxa"/>
            <w:vAlign w:val="top"/>
          </w:tcPr>
          <w:p>
            <w:pPr>
              <w:spacing w:line="358" w:lineRule="auto"/>
              <w:rPr>
                <w:rFonts w:ascii="Arial"/>
                <w:sz w:val="21"/>
              </w:rPr>
            </w:pPr>
            <w:r/>
          </w:p>
          <w:p>
            <w:pPr>
              <w:pStyle w:val="TableText"/>
              <w:ind w:left="435"/>
              <w:spacing w:before="86" w:line="189" w:lineRule="auto"/>
              <w:rPr/>
            </w:pPr>
            <w:r>
              <w:rPr>
                <w:spacing w:val="8"/>
              </w:rPr>
              <w:t>监管函</w:t>
            </w:r>
          </w:p>
        </w:tc>
        <w:tc>
          <w:tcPr>
            <w:tcW w:w="4563" w:type="dxa"/>
            <w:vAlign w:val="top"/>
          </w:tcPr>
          <w:p>
            <w:pPr>
              <w:pStyle w:val="TableText"/>
              <w:ind w:left="110"/>
              <w:spacing w:before="86" w:line="189" w:lineRule="auto"/>
              <w:rPr/>
            </w:pPr>
            <w:r>
              <w:rPr>
                <w:spacing w:val="9"/>
              </w:rPr>
              <w:t>实际控制人存在</w:t>
            </w:r>
            <w:r>
              <w:rPr>
                <w:b/>
                <w:bCs/>
                <w:spacing w:val="9"/>
              </w:rPr>
              <w:t>为他人代持龙利得股份</w:t>
            </w:r>
            <w:r>
              <w:rPr>
                <w:spacing w:val="9"/>
              </w:rPr>
              <w:t>的行</w:t>
            </w:r>
          </w:p>
          <w:p>
            <w:pPr>
              <w:pStyle w:val="TableText"/>
              <w:ind w:left="109" w:right="253" w:firstLine="4"/>
              <w:spacing w:before="88" w:line="220" w:lineRule="auto"/>
              <w:rPr/>
            </w:pPr>
            <w:r>
              <w:rPr>
                <w:spacing w:val="6"/>
              </w:rPr>
              <w:t>为， 导致龙利得关于实际控制人持有龙利得股</w:t>
            </w:r>
            <w:r>
              <w:rPr>
                <w:spacing w:val="4"/>
              </w:rPr>
              <w:t xml:space="preserve"> </w:t>
            </w:r>
            <w:r>
              <w:rPr>
                <w:spacing w:val="8"/>
              </w:rPr>
              <w:t>份的信息披露不准确。</w:t>
            </w:r>
          </w:p>
        </w:tc>
      </w:tr>
      <w:tr>
        <w:trPr>
          <w:trHeight w:val="1445" w:hRule="atLeast"/>
        </w:trPr>
        <w:tc>
          <w:tcPr>
            <w:shd w:val="clear" w:fill="C7DAF1"/>
            <w:tcW w:w="1471" w:type="dxa"/>
            <w:vAlign w:val="top"/>
          </w:tcPr>
          <w:p>
            <w:pPr>
              <w:spacing w:line="276" w:lineRule="auto"/>
              <w:rPr>
                <w:rFonts w:ascii="Arial"/>
                <w:sz w:val="21"/>
              </w:rPr>
            </w:pPr>
            <w:r/>
          </w:p>
          <w:p>
            <w:pPr>
              <w:spacing w:line="276" w:lineRule="auto"/>
              <w:rPr>
                <w:rFonts w:ascii="Arial"/>
                <w:sz w:val="21"/>
              </w:rPr>
            </w:pPr>
            <w:r/>
          </w:p>
          <w:p>
            <w:pPr>
              <w:pStyle w:val="TableText"/>
              <w:ind w:left="379"/>
              <w:spacing w:before="86" w:line="178" w:lineRule="auto"/>
              <w:rPr/>
            </w:pPr>
            <w:r>
              <w:rPr>
                <w:spacing w:val="3"/>
              </w:rPr>
              <w:t>300208</w:t>
            </w:r>
          </w:p>
        </w:tc>
        <w:tc>
          <w:tcPr>
            <w:shd w:val="clear" w:fill="C7DAF1"/>
            <w:tcW w:w="1484" w:type="dxa"/>
            <w:vAlign w:val="top"/>
          </w:tcPr>
          <w:p>
            <w:pPr>
              <w:spacing w:line="268" w:lineRule="auto"/>
              <w:rPr>
                <w:rFonts w:ascii="Arial"/>
                <w:sz w:val="21"/>
              </w:rPr>
            </w:pPr>
            <w:r/>
          </w:p>
          <w:p>
            <w:pPr>
              <w:spacing w:line="269" w:lineRule="auto"/>
              <w:rPr>
                <w:rFonts w:ascii="Arial"/>
                <w:sz w:val="21"/>
              </w:rPr>
            </w:pPr>
            <w:r/>
          </w:p>
          <w:p>
            <w:pPr>
              <w:pStyle w:val="TableText"/>
              <w:ind w:left="368"/>
              <w:spacing w:before="86" w:line="189" w:lineRule="auto"/>
              <w:rPr/>
            </w:pPr>
            <w:r>
              <w:rPr>
                <w:spacing w:val="8"/>
              </w:rPr>
              <w:t>*</w:t>
            </w:r>
            <w:r>
              <w:rPr/>
              <w:t>ST</w:t>
            </w:r>
            <w:r>
              <w:rPr>
                <w:spacing w:val="8"/>
              </w:rPr>
              <w:t>中程</w:t>
            </w:r>
          </w:p>
        </w:tc>
        <w:tc>
          <w:tcPr>
            <w:shd w:val="clear" w:fill="C7DAF1"/>
            <w:tcW w:w="1498" w:type="dxa"/>
            <w:vAlign w:val="top"/>
          </w:tcPr>
          <w:p>
            <w:pPr>
              <w:spacing w:line="268" w:lineRule="auto"/>
              <w:rPr>
                <w:rFonts w:ascii="Arial"/>
                <w:sz w:val="21"/>
              </w:rPr>
            </w:pPr>
            <w:r/>
          </w:p>
          <w:p>
            <w:pPr>
              <w:spacing w:line="269" w:lineRule="auto"/>
              <w:rPr>
                <w:rFonts w:ascii="Arial"/>
                <w:sz w:val="21"/>
              </w:rPr>
            </w:pPr>
            <w:r/>
          </w:p>
          <w:p>
            <w:pPr>
              <w:pStyle w:val="TableText"/>
              <w:ind w:left="435"/>
              <w:spacing w:before="86" w:line="189" w:lineRule="auto"/>
              <w:rPr/>
            </w:pPr>
            <w:r>
              <w:rPr>
                <w:spacing w:val="8"/>
              </w:rPr>
              <w:t>监管函</w:t>
            </w:r>
          </w:p>
        </w:tc>
        <w:tc>
          <w:tcPr>
            <w:shd w:val="clear" w:fill="C7DAF1"/>
            <w:tcW w:w="4563" w:type="dxa"/>
            <w:vAlign w:val="top"/>
          </w:tcPr>
          <w:p>
            <w:pPr>
              <w:pStyle w:val="TableText"/>
              <w:ind w:left="109" w:right="155"/>
              <w:spacing w:before="90" w:line="235" w:lineRule="auto"/>
              <w:jc w:val="both"/>
              <w:rPr/>
            </w:pPr>
            <w:r>
              <w:rPr>
                <w:spacing w:val="9"/>
              </w:rPr>
              <w:t>公司连续十二个月累计发生的</w:t>
            </w:r>
            <w:r>
              <w:rPr>
                <w:b/>
                <w:bCs/>
                <w:spacing w:val="9"/>
              </w:rPr>
              <w:t>诉讼、仲裁</w:t>
            </w:r>
            <w:r>
              <w:rPr>
                <w:spacing w:val="9"/>
              </w:rPr>
              <w:t>金额</w:t>
            </w:r>
            <w:r>
              <w:rPr>
                <w:spacing w:val="7"/>
              </w:rPr>
              <w:t xml:space="preserve">  </w:t>
            </w:r>
            <w:r>
              <w:rPr>
                <w:spacing w:val="9"/>
              </w:rPr>
              <w:t>合计占上市公司最近一期经审计净资产绝对值</w:t>
            </w:r>
            <w:r>
              <w:rPr>
                <w:spacing w:val="4"/>
              </w:rPr>
              <w:t xml:space="preserve">   </w:t>
            </w:r>
            <w:r>
              <w:rPr>
                <w:spacing w:val="3"/>
              </w:rPr>
              <w:t>的比例为20.30%， 达到披露标准， 但公司未及 </w:t>
            </w:r>
            <w:r>
              <w:rPr>
                <w:spacing w:val="8"/>
              </w:rPr>
              <w:t>时履行信息披露义务。</w:t>
            </w:r>
          </w:p>
        </w:tc>
      </w:tr>
      <w:tr>
        <w:trPr>
          <w:trHeight w:val="1250" w:hRule="atLeast"/>
        </w:trPr>
        <w:tc>
          <w:tcPr>
            <w:tcW w:w="1471" w:type="dxa"/>
            <w:vAlign w:val="top"/>
          </w:tcPr>
          <w:p>
            <w:pPr>
              <w:spacing w:line="458" w:lineRule="auto"/>
              <w:rPr>
                <w:rFonts w:ascii="Arial"/>
                <w:sz w:val="21"/>
              </w:rPr>
            </w:pPr>
            <w:r/>
          </w:p>
          <w:p>
            <w:pPr>
              <w:pStyle w:val="TableText"/>
              <w:ind w:left="379"/>
              <w:spacing w:before="86" w:line="178" w:lineRule="auto"/>
              <w:rPr/>
            </w:pPr>
            <w:r>
              <w:rPr>
                <w:spacing w:val="3"/>
              </w:rPr>
              <w:t>300422</w:t>
            </w:r>
          </w:p>
        </w:tc>
        <w:tc>
          <w:tcPr>
            <w:tcW w:w="1484" w:type="dxa"/>
            <w:vAlign w:val="top"/>
          </w:tcPr>
          <w:p>
            <w:pPr>
              <w:spacing w:line="445" w:lineRule="auto"/>
              <w:rPr>
                <w:rFonts w:ascii="Arial"/>
                <w:sz w:val="21"/>
              </w:rPr>
            </w:pPr>
            <w:r/>
          </w:p>
          <w:p>
            <w:pPr>
              <w:pStyle w:val="TableText"/>
              <w:ind w:left="425"/>
              <w:spacing w:before="86" w:line="188" w:lineRule="auto"/>
              <w:rPr/>
            </w:pPr>
            <w:r>
              <w:rPr>
                <w:spacing w:val="8"/>
              </w:rPr>
              <w:t>博世科</w:t>
            </w:r>
          </w:p>
        </w:tc>
        <w:tc>
          <w:tcPr>
            <w:tcW w:w="1498" w:type="dxa"/>
            <w:vAlign w:val="top"/>
          </w:tcPr>
          <w:p>
            <w:pPr>
              <w:spacing w:line="443" w:lineRule="auto"/>
              <w:rPr>
                <w:rFonts w:ascii="Arial"/>
                <w:sz w:val="21"/>
              </w:rPr>
            </w:pPr>
            <w:r/>
          </w:p>
          <w:p>
            <w:pPr>
              <w:pStyle w:val="TableText"/>
              <w:ind w:left="435"/>
              <w:spacing w:before="86" w:line="189" w:lineRule="auto"/>
              <w:rPr/>
            </w:pPr>
            <w:r>
              <w:rPr>
                <w:spacing w:val="8"/>
              </w:rPr>
              <w:t>监管函</w:t>
            </w:r>
          </w:p>
        </w:tc>
        <w:tc>
          <w:tcPr>
            <w:tcW w:w="4563" w:type="dxa"/>
            <w:vAlign w:val="top"/>
          </w:tcPr>
          <w:p>
            <w:pPr>
              <w:pStyle w:val="TableText"/>
              <w:ind w:left="111" w:right="253" w:hanging="1"/>
              <w:spacing w:before="170" w:line="250" w:lineRule="auto"/>
              <w:rPr/>
            </w:pPr>
            <w:r>
              <w:rPr>
                <w:spacing w:val="6"/>
              </w:rPr>
              <w:t>坏账准备</w:t>
            </w:r>
            <w:r>
              <w:rPr>
                <w:b/>
                <w:bCs/>
                <w:spacing w:val="6"/>
              </w:rPr>
              <w:t>计提</w:t>
            </w:r>
            <w:r>
              <w:rPr>
                <w:spacing w:val="6"/>
              </w:rPr>
              <w:t>不谨慎； 应收账款与合同资产</w:t>
            </w:r>
            <w:r>
              <w:rPr>
                <w:b/>
                <w:bCs/>
                <w:spacing w:val="6"/>
              </w:rPr>
              <w:t>分</w:t>
            </w:r>
            <w:r>
              <w:rPr>
                <w:b/>
                <w:bCs/>
                <w:spacing w:val="7"/>
              </w:rPr>
              <w:t xml:space="preserve"> </w:t>
            </w:r>
            <w:r>
              <w:rPr>
                <w:b/>
                <w:bCs/>
                <w:spacing w:val="6"/>
              </w:rPr>
              <w:t>类不准确</w:t>
            </w:r>
            <w:r>
              <w:rPr>
                <w:spacing w:val="6"/>
              </w:rPr>
              <w:t>； 未及时披露募集资金账户</w:t>
            </w:r>
            <w:r>
              <w:rPr>
                <w:b/>
                <w:bCs/>
                <w:spacing w:val="6"/>
              </w:rPr>
              <w:t>冻结</w:t>
            </w:r>
            <w:r>
              <w:rPr>
                <w:spacing w:val="6"/>
              </w:rPr>
              <w:t>事</w:t>
            </w:r>
          </w:p>
          <w:p>
            <w:pPr>
              <w:pStyle w:val="TableText"/>
              <w:ind w:left="108"/>
              <w:spacing w:before="19" w:line="180" w:lineRule="auto"/>
              <w:rPr/>
            </w:pPr>
            <w:r>
              <w:rPr>
                <w:spacing w:val="3"/>
              </w:rPr>
              <w:t>项。</w:t>
            </w:r>
          </w:p>
        </w:tc>
      </w:tr>
      <w:tr>
        <w:trPr>
          <w:trHeight w:val="1447" w:hRule="atLeast"/>
        </w:trPr>
        <w:tc>
          <w:tcPr>
            <w:shd w:val="clear" w:fill="C7DAF1"/>
            <w:tcW w:w="1471" w:type="dxa"/>
            <w:vAlign w:val="top"/>
          </w:tcPr>
          <w:p>
            <w:pPr>
              <w:spacing w:line="276" w:lineRule="auto"/>
              <w:rPr>
                <w:rFonts w:ascii="Arial"/>
                <w:sz w:val="21"/>
              </w:rPr>
            </w:pPr>
            <w:r/>
          </w:p>
          <w:p>
            <w:pPr>
              <w:spacing w:line="277" w:lineRule="auto"/>
              <w:rPr>
                <w:rFonts w:ascii="Arial"/>
                <w:sz w:val="21"/>
              </w:rPr>
            </w:pPr>
            <w:r/>
          </w:p>
          <w:p>
            <w:pPr>
              <w:pStyle w:val="TableText"/>
              <w:ind w:left="373"/>
              <w:spacing w:before="86" w:line="178" w:lineRule="auto"/>
              <w:rPr/>
            </w:pPr>
            <w:r>
              <w:rPr>
                <w:spacing w:val="3"/>
              </w:rPr>
              <w:t>002026</w:t>
            </w:r>
          </w:p>
        </w:tc>
        <w:tc>
          <w:tcPr>
            <w:shd w:val="clear" w:fill="C7DAF1"/>
            <w:tcW w:w="1484" w:type="dxa"/>
            <w:vAlign w:val="top"/>
          </w:tcPr>
          <w:p>
            <w:pPr>
              <w:spacing w:line="269" w:lineRule="auto"/>
              <w:rPr>
                <w:rFonts w:ascii="Arial"/>
                <w:sz w:val="21"/>
              </w:rPr>
            </w:pPr>
            <w:r/>
          </w:p>
          <w:p>
            <w:pPr>
              <w:spacing w:line="270" w:lineRule="auto"/>
              <w:rPr>
                <w:rFonts w:ascii="Arial"/>
                <w:sz w:val="21"/>
              </w:rPr>
            </w:pPr>
            <w:r/>
          </w:p>
          <w:p>
            <w:pPr>
              <w:pStyle w:val="TableText"/>
              <w:ind w:left="337"/>
              <w:spacing w:before="85" w:line="189" w:lineRule="auto"/>
              <w:rPr/>
            </w:pPr>
            <w:r>
              <w:rPr>
                <w:spacing w:val="4"/>
              </w:rPr>
              <w:t>山东威达</w:t>
            </w:r>
          </w:p>
        </w:tc>
        <w:tc>
          <w:tcPr>
            <w:shd w:val="clear" w:fill="C7DAF1"/>
            <w:tcW w:w="1498" w:type="dxa"/>
            <w:vAlign w:val="top"/>
          </w:tcPr>
          <w:p>
            <w:pPr>
              <w:spacing w:line="269" w:lineRule="auto"/>
              <w:rPr>
                <w:rFonts w:ascii="Arial"/>
                <w:sz w:val="21"/>
              </w:rPr>
            </w:pPr>
            <w:r/>
          </w:p>
          <w:p>
            <w:pPr>
              <w:spacing w:line="270" w:lineRule="auto"/>
              <w:rPr>
                <w:rFonts w:ascii="Arial"/>
                <w:sz w:val="21"/>
              </w:rPr>
            </w:pPr>
            <w:r/>
          </w:p>
          <w:p>
            <w:pPr>
              <w:pStyle w:val="TableText"/>
              <w:ind w:left="435"/>
              <w:spacing w:before="85" w:line="189" w:lineRule="auto"/>
              <w:rPr/>
            </w:pPr>
            <w:r>
              <w:rPr>
                <w:spacing w:val="8"/>
              </w:rPr>
              <w:t>监管函</w:t>
            </w:r>
          </w:p>
        </w:tc>
        <w:tc>
          <w:tcPr>
            <w:shd w:val="clear" w:fill="C7DAF1"/>
            <w:tcW w:w="4563" w:type="dxa"/>
            <w:vAlign w:val="top"/>
          </w:tcPr>
          <w:p>
            <w:pPr>
              <w:pStyle w:val="TableText"/>
              <w:ind w:left="110" w:right="155" w:hanging="1"/>
              <w:spacing w:before="89" w:line="250" w:lineRule="auto"/>
              <w:rPr/>
            </w:pPr>
            <w:r>
              <w:rPr>
                <w:spacing w:val="9"/>
              </w:rPr>
              <w:t>公司错误使用“总额法”核算导致公司</w:t>
            </w:r>
            <w:r>
              <w:rPr>
                <w:b/>
                <w:bCs/>
                <w:spacing w:val="9"/>
              </w:rPr>
              <w:t>2023年</w:t>
            </w:r>
            <w:r>
              <w:rPr>
                <w:b/>
                <w:bCs/>
                <w:spacing w:val="1"/>
              </w:rPr>
              <w:t xml:space="preserve"> </w:t>
            </w:r>
            <w:r>
              <w:rPr>
                <w:b/>
                <w:bCs/>
                <w:spacing w:val="9"/>
              </w:rPr>
              <w:t>半年报</w:t>
            </w:r>
            <w:r>
              <w:rPr>
                <w:spacing w:val="9"/>
              </w:rPr>
              <w:t>中报告期营业收入、营业成本多计；</w:t>
            </w:r>
          </w:p>
          <w:p>
            <w:pPr>
              <w:pStyle w:val="TableText"/>
              <w:ind w:left="110" w:right="155" w:firstLine="6"/>
              <w:spacing w:before="6" w:line="219" w:lineRule="auto"/>
              <w:rPr/>
            </w:pPr>
            <w:r>
              <w:rPr>
                <w:b/>
                <w:bCs/>
                <w:spacing w:val="8"/>
              </w:rPr>
              <w:t>2023年第三季度报告</w:t>
            </w:r>
            <w:r>
              <w:rPr>
                <w:spacing w:val="8"/>
              </w:rPr>
              <w:t>中前三季度营业收入、营</w:t>
            </w:r>
            <w:r>
              <w:rPr>
                <w:spacing w:val="14"/>
                <w:w w:val="101"/>
              </w:rPr>
              <w:t xml:space="preserve"> </w:t>
            </w:r>
            <w:r>
              <w:rPr>
                <w:spacing w:val="7"/>
              </w:rPr>
              <w:t>业成本多计。</w:t>
            </w:r>
          </w:p>
        </w:tc>
      </w:tr>
    </w:tbl>
    <w:p>
      <w:pPr>
        <w:pStyle w:val="BodyText"/>
        <w:spacing w:line="14" w:lineRule="auto"/>
        <w:rPr>
          <w:sz w:val="2"/>
        </w:rPr>
      </w:pPr>
      <w:r/>
    </w:p>
    <w:p>
      <w:pPr>
        <w:spacing w:line="14" w:lineRule="auto"/>
        <w:sectPr>
          <w:type w:val="continuous"/>
          <w:pgSz w:w="11910" w:h="16840"/>
          <w:pgMar w:top="9" w:right="59" w:bottom="0" w:left="12" w:header="0" w:footer="0" w:gutter="0"/>
          <w:cols w:equalWidth="0" w:num="1">
            <w:col w:w="11840" w:space="0"/>
          </w:cols>
        </w:sectPr>
        <w:rPr>
          <w:sz w:val="2"/>
          <w:szCs w:val="2"/>
        </w:rPr>
      </w:pPr>
    </w:p>
    <w:tbl>
      <w:tblPr>
        <w:tblStyle w:val="TableNormal"/>
        <w:tblW w:w="9016" w:type="dxa"/>
        <w:tblInd w:w="887"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615" w:hRule="atLeast"/>
        </w:trPr>
        <w:tc>
          <w:tcPr>
            <w:tcW w:w="1471" w:type="dxa"/>
            <w:vAlign w:val="top"/>
          </w:tcPr>
          <w:p>
            <w:pPr>
              <w:pStyle w:val="TableText"/>
              <w:ind w:left="379"/>
              <w:spacing w:before="227" w:line="178" w:lineRule="auto"/>
              <w:rPr/>
            </w:pPr>
            <w:r>
              <w:rPr>
                <w:spacing w:val="3"/>
              </w:rPr>
              <w:t>300022</w:t>
            </w:r>
          </w:p>
        </w:tc>
        <w:tc>
          <w:tcPr>
            <w:tcW w:w="1484" w:type="dxa"/>
            <w:vAlign w:val="top"/>
          </w:tcPr>
          <w:p>
            <w:pPr>
              <w:pStyle w:val="TableText"/>
              <w:ind w:left="323"/>
              <w:spacing w:before="213" w:line="189" w:lineRule="auto"/>
              <w:rPr/>
            </w:pPr>
            <w:r>
              <w:rPr>
                <w:spacing w:val="7"/>
              </w:rPr>
              <w:t>吉峰科技</w:t>
            </w:r>
          </w:p>
        </w:tc>
        <w:tc>
          <w:tcPr>
            <w:tcW w:w="1498" w:type="dxa"/>
            <w:vAlign w:val="top"/>
          </w:tcPr>
          <w:p>
            <w:pPr>
              <w:pStyle w:val="TableText"/>
              <w:ind w:left="435"/>
              <w:spacing w:before="212" w:line="189" w:lineRule="auto"/>
              <w:rPr/>
            </w:pPr>
            <w:r>
              <w:rPr>
                <w:spacing w:val="8"/>
              </w:rPr>
              <w:t>监管函</w:t>
            </w:r>
          </w:p>
        </w:tc>
        <w:tc>
          <w:tcPr>
            <w:tcW w:w="4563" w:type="dxa"/>
            <w:vAlign w:val="top"/>
          </w:tcPr>
          <w:p>
            <w:pPr>
              <w:pStyle w:val="TableText"/>
              <w:ind w:left="110"/>
              <w:spacing w:before="213" w:line="189" w:lineRule="auto"/>
              <w:rPr/>
            </w:pPr>
            <w:r>
              <w:rPr>
                <w:spacing w:val="8"/>
              </w:rPr>
              <w:t>董事亲属</w:t>
            </w:r>
            <w:r>
              <w:rPr>
                <w:b/>
                <w:bCs/>
                <w:spacing w:val="8"/>
              </w:rPr>
              <w:t>短线交易</w:t>
            </w:r>
            <w:r>
              <w:rPr>
                <w:spacing w:val="8"/>
              </w:rPr>
              <w:t>。</w:t>
            </w:r>
          </w:p>
        </w:tc>
      </w:tr>
      <w:tr>
        <w:trPr>
          <w:trHeight w:val="611" w:hRule="atLeast"/>
        </w:trPr>
        <w:tc>
          <w:tcPr>
            <w:shd w:val="clear" w:fill="C7DAF1"/>
            <w:tcW w:w="1471" w:type="dxa"/>
            <w:vAlign w:val="top"/>
          </w:tcPr>
          <w:p>
            <w:pPr>
              <w:pStyle w:val="TableText"/>
              <w:ind w:left="379"/>
              <w:spacing w:before="223" w:line="179" w:lineRule="auto"/>
              <w:rPr/>
            </w:pPr>
            <w:r>
              <w:rPr>
                <w:spacing w:val="3"/>
              </w:rPr>
              <w:t>300871</w:t>
            </w:r>
          </w:p>
        </w:tc>
        <w:tc>
          <w:tcPr>
            <w:shd w:val="clear" w:fill="C7DAF1"/>
            <w:tcW w:w="1484" w:type="dxa"/>
            <w:vAlign w:val="top"/>
          </w:tcPr>
          <w:p>
            <w:pPr>
              <w:pStyle w:val="TableText"/>
              <w:ind w:left="332"/>
              <w:spacing w:before="209" w:line="189" w:lineRule="auto"/>
              <w:rPr/>
            </w:pPr>
            <w:r>
              <w:rPr>
                <w:spacing w:val="5"/>
              </w:rPr>
              <w:t>回盛生物</w:t>
            </w:r>
          </w:p>
        </w:tc>
        <w:tc>
          <w:tcPr>
            <w:shd w:val="clear" w:fill="C7DAF1"/>
            <w:tcW w:w="1498" w:type="dxa"/>
            <w:vAlign w:val="top"/>
          </w:tcPr>
          <w:p>
            <w:pPr>
              <w:pStyle w:val="TableText"/>
              <w:ind w:left="435"/>
              <w:spacing w:before="209" w:line="189" w:lineRule="auto"/>
              <w:rPr/>
            </w:pPr>
            <w:r>
              <w:rPr>
                <w:spacing w:val="8"/>
              </w:rPr>
              <w:t>监管函</w:t>
            </w:r>
          </w:p>
        </w:tc>
        <w:tc>
          <w:tcPr>
            <w:shd w:val="clear" w:fill="C7DAF1"/>
            <w:tcW w:w="4563" w:type="dxa"/>
            <w:vAlign w:val="top"/>
          </w:tcPr>
          <w:p>
            <w:pPr>
              <w:pStyle w:val="TableText"/>
              <w:ind w:left="109"/>
              <w:spacing w:before="208" w:line="190" w:lineRule="auto"/>
              <w:rPr/>
            </w:pPr>
            <w:r>
              <w:rPr>
                <w:spacing w:val="8"/>
              </w:rPr>
              <w:t>公司2023年度</w:t>
            </w:r>
            <w:r>
              <w:rPr>
                <w:b/>
                <w:bCs/>
                <w:spacing w:val="8"/>
              </w:rPr>
              <w:t>业绩预告</w:t>
            </w:r>
            <w:r>
              <w:rPr>
                <w:spacing w:val="8"/>
              </w:rPr>
              <w:t>信息披露不及时。</w:t>
            </w:r>
          </w:p>
        </w:tc>
      </w:tr>
      <w:tr>
        <w:trPr>
          <w:trHeight w:val="724" w:hRule="atLeast"/>
        </w:trPr>
        <w:tc>
          <w:tcPr>
            <w:tcW w:w="1471" w:type="dxa"/>
            <w:vAlign w:val="top"/>
          </w:tcPr>
          <w:p>
            <w:pPr>
              <w:pStyle w:val="TableText"/>
              <w:ind w:left="373"/>
              <w:spacing w:before="279" w:line="179" w:lineRule="auto"/>
              <w:rPr/>
            </w:pPr>
            <w:r>
              <w:rPr>
                <w:spacing w:val="3"/>
              </w:rPr>
              <w:t>002193</w:t>
            </w:r>
          </w:p>
        </w:tc>
        <w:tc>
          <w:tcPr>
            <w:tcW w:w="1484" w:type="dxa"/>
            <w:vAlign w:val="top"/>
          </w:tcPr>
          <w:p>
            <w:pPr>
              <w:pStyle w:val="TableText"/>
              <w:ind w:left="319"/>
              <w:spacing w:before="264" w:line="190" w:lineRule="auto"/>
              <w:rPr/>
            </w:pPr>
            <w:r>
              <w:rPr>
                <w:spacing w:val="8"/>
              </w:rPr>
              <w:t>如意集团</w:t>
            </w:r>
          </w:p>
        </w:tc>
        <w:tc>
          <w:tcPr>
            <w:tcW w:w="1498" w:type="dxa"/>
            <w:vAlign w:val="top"/>
          </w:tcPr>
          <w:p>
            <w:pPr>
              <w:pStyle w:val="TableText"/>
              <w:ind w:left="327"/>
              <w:spacing w:before="268" w:line="187" w:lineRule="auto"/>
              <w:rPr/>
            </w:pPr>
            <w:r>
              <w:rPr>
                <w:spacing w:val="8"/>
              </w:rPr>
              <w:t>公开谴责</w:t>
            </w:r>
          </w:p>
        </w:tc>
        <w:tc>
          <w:tcPr>
            <w:tcW w:w="4563" w:type="dxa"/>
            <w:vAlign w:val="top"/>
          </w:tcPr>
          <w:p>
            <w:pPr>
              <w:pStyle w:val="TableText"/>
              <w:ind w:left="109" w:right="253" w:firstLine="2"/>
              <w:spacing w:before="87" w:line="219" w:lineRule="auto"/>
              <w:rPr/>
            </w:pPr>
            <w:r>
              <w:rPr>
                <w:spacing w:val="6"/>
              </w:rPr>
              <w:t>长期股权投资</w:t>
            </w:r>
            <w:r>
              <w:rPr>
                <w:b/>
                <w:bCs/>
                <w:spacing w:val="6"/>
              </w:rPr>
              <w:t>减值计提</w:t>
            </w:r>
            <w:r>
              <w:rPr>
                <w:spacing w:val="6"/>
              </w:rPr>
              <w:t>不充分； 未按规定审议 </w:t>
            </w:r>
            <w:r>
              <w:rPr>
                <w:spacing w:val="5"/>
              </w:rPr>
              <w:t>和披露</w:t>
            </w:r>
            <w:r>
              <w:rPr>
                <w:b/>
                <w:bCs/>
                <w:spacing w:val="5"/>
              </w:rPr>
              <w:t>关联交易</w:t>
            </w:r>
            <w:r>
              <w:rPr>
                <w:spacing w:val="5"/>
              </w:rPr>
              <w:t>； </w:t>
            </w:r>
            <w:r>
              <w:rPr>
                <w:b/>
                <w:bCs/>
                <w:spacing w:val="5"/>
              </w:rPr>
              <w:t>业绩预告</w:t>
            </w:r>
            <w:r>
              <w:rPr>
                <w:spacing w:val="5"/>
              </w:rPr>
              <w:t>披露不准确。</w:t>
            </w:r>
          </w:p>
        </w:tc>
      </w:tr>
      <w:tr>
        <w:trPr>
          <w:trHeight w:val="726" w:hRule="atLeast"/>
        </w:trPr>
        <w:tc>
          <w:tcPr>
            <w:shd w:val="clear" w:fill="C7DAF1"/>
            <w:tcW w:w="1471" w:type="dxa"/>
            <w:vAlign w:val="top"/>
          </w:tcPr>
          <w:p>
            <w:pPr>
              <w:pStyle w:val="TableText"/>
              <w:ind w:left="373"/>
              <w:spacing w:before="279" w:line="179" w:lineRule="auto"/>
              <w:rPr/>
            </w:pPr>
            <w:r>
              <w:rPr>
                <w:spacing w:val="3"/>
              </w:rPr>
              <w:t>002193</w:t>
            </w:r>
          </w:p>
        </w:tc>
        <w:tc>
          <w:tcPr>
            <w:shd w:val="clear" w:fill="C7DAF1"/>
            <w:tcW w:w="1484" w:type="dxa"/>
            <w:vAlign w:val="top"/>
          </w:tcPr>
          <w:p>
            <w:pPr>
              <w:pStyle w:val="TableText"/>
              <w:ind w:left="319"/>
              <w:spacing w:before="264" w:line="190" w:lineRule="auto"/>
              <w:rPr/>
            </w:pPr>
            <w:r>
              <w:rPr>
                <w:spacing w:val="8"/>
              </w:rPr>
              <w:t>如意集团</w:t>
            </w:r>
          </w:p>
        </w:tc>
        <w:tc>
          <w:tcPr>
            <w:shd w:val="clear" w:fill="C7DAF1"/>
            <w:tcW w:w="1498" w:type="dxa"/>
            <w:vAlign w:val="top"/>
          </w:tcPr>
          <w:p>
            <w:pPr>
              <w:pStyle w:val="TableText"/>
              <w:ind w:left="327"/>
              <w:spacing w:before="267" w:line="188" w:lineRule="auto"/>
              <w:rPr/>
            </w:pPr>
            <w:r>
              <w:rPr>
                <w:spacing w:val="8"/>
              </w:rPr>
              <w:t>通报批评</w:t>
            </w:r>
          </w:p>
        </w:tc>
        <w:tc>
          <w:tcPr>
            <w:shd w:val="clear" w:fill="C7DAF1"/>
            <w:tcW w:w="4563" w:type="dxa"/>
            <w:vAlign w:val="top"/>
          </w:tcPr>
          <w:p>
            <w:pPr>
              <w:pStyle w:val="TableText"/>
              <w:ind w:left="109" w:right="253" w:firstLine="2"/>
              <w:spacing w:before="86" w:line="220" w:lineRule="auto"/>
              <w:rPr/>
            </w:pPr>
            <w:r>
              <w:rPr>
                <w:spacing w:val="6"/>
              </w:rPr>
              <w:t>长期股权投资</w:t>
            </w:r>
            <w:r>
              <w:rPr>
                <w:b/>
                <w:bCs/>
                <w:spacing w:val="6"/>
              </w:rPr>
              <w:t>减值计提</w:t>
            </w:r>
            <w:r>
              <w:rPr>
                <w:spacing w:val="6"/>
              </w:rPr>
              <w:t>不充分； 未按规定审议 </w:t>
            </w:r>
            <w:r>
              <w:rPr>
                <w:spacing w:val="5"/>
              </w:rPr>
              <w:t>和披露</w:t>
            </w:r>
            <w:r>
              <w:rPr>
                <w:b/>
                <w:bCs/>
                <w:spacing w:val="5"/>
              </w:rPr>
              <w:t>关联交易</w:t>
            </w:r>
            <w:r>
              <w:rPr>
                <w:spacing w:val="5"/>
              </w:rPr>
              <w:t>； </w:t>
            </w:r>
            <w:r>
              <w:rPr>
                <w:b/>
                <w:bCs/>
                <w:spacing w:val="5"/>
              </w:rPr>
              <w:t>业绩预告</w:t>
            </w:r>
            <w:r>
              <w:rPr>
                <w:spacing w:val="5"/>
              </w:rPr>
              <w:t>披露不准确。</w:t>
            </w:r>
          </w:p>
        </w:tc>
      </w:tr>
      <w:tr>
        <w:trPr>
          <w:trHeight w:val="724" w:hRule="atLeast"/>
        </w:trPr>
        <w:tc>
          <w:tcPr>
            <w:tcW w:w="1471" w:type="dxa"/>
            <w:vAlign w:val="top"/>
          </w:tcPr>
          <w:p>
            <w:pPr>
              <w:pStyle w:val="TableText"/>
              <w:ind w:left="373"/>
              <w:spacing w:before="282" w:line="178" w:lineRule="auto"/>
              <w:rPr/>
            </w:pPr>
            <w:r>
              <w:rPr>
                <w:spacing w:val="3"/>
              </w:rPr>
              <w:t>002309</w:t>
            </w:r>
          </w:p>
        </w:tc>
        <w:tc>
          <w:tcPr>
            <w:tcW w:w="1484" w:type="dxa"/>
            <w:vAlign w:val="top"/>
          </w:tcPr>
          <w:p>
            <w:pPr>
              <w:pStyle w:val="TableText"/>
              <w:ind w:left="368"/>
              <w:spacing w:before="267" w:line="189" w:lineRule="auto"/>
              <w:rPr/>
            </w:pPr>
            <w:r>
              <w:rPr>
                <w:spacing w:val="8"/>
              </w:rPr>
              <w:t>*</w:t>
            </w:r>
            <w:r>
              <w:rPr/>
              <w:t>ST</w:t>
            </w:r>
            <w:r>
              <w:rPr>
                <w:spacing w:val="8"/>
              </w:rPr>
              <w:t>中利</w:t>
            </w:r>
          </w:p>
        </w:tc>
        <w:tc>
          <w:tcPr>
            <w:tcW w:w="1498" w:type="dxa"/>
            <w:vAlign w:val="top"/>
          </w:tcPr>
          <w:p>
            <w:pPr>
              <w:pStyle w:val="TableText"/>
              <w:ind w:left="327"/>
              <w:spacing w:before="267" w:line="189" w:lineRule="auto"/>
              <w:rPr/>
            </w:pPr>
            <w:r>
              <w:rPr>
                <w:spacing w:val="8"/>
              </w:rPr>
              <w:t>公开认定</w:t>
            </w:r>
          </w:p>
        </w:tc>
        <w:tc>
          <w:tcPr>
            <w:tcW w:w="4563" w:type="dxa"/>
            <w:vAlign w:val="top"/>
          </w:tcPr>
          <w:p>
            <w:pPr>
              <w:pStyle w:val="TableText"/>
              <w:ind w:left="109" w:right="253"/>
              <w:spacing w:before="87" w:line="219" w:lineRule="auto"/>
              <w:rPr/>
            </w:pPr>
            <w:r>
              <w:rPr>
                <w:b/>
                <w:bCs/>
                <w:spacing w:val="3"/>
              </w:rPr>
              <w:t>虚增</w:t>
            </w:r>
            <w:r>
              <w:rPr>
                <w:spacing w:val="3"/>
              </w:rPr>
              <w:t>营业收入、利润总额； 违规</w:t>
            </w:r>
            <w:r>
              <w:rPr>
                <w:b/>
                <w:bCs/>
                <w:spacing w:val="3"/>
              </w:rPr>
              <w:t>资金占用</w:t>
            </w:r>
            <w:r>
              <w:rPr>
                <w:spacing w:val="3"/>
              </w:rPr>
              <w:t>； 违</w:t>
            </w:r>
            <w:r>
              <w:rPr>
                <w:spacing w:val="9"/>
              </w:rPr>
              <w:t xml:space="preserve"> </w:t>
            </w:r>
            <w:r>
              <w:rPr>
                <w:spacing w:val="4"/>
              </w:rPr>
              <w:t>规</w:t>
            </w:r>
            <w:r>
              <w:rPr>
                <w:b/>
                <w:bCs/>
                <w:spacing w:val="4"/>
              </w:rPr>
              <w:t>对外担保</w:t>
            </w:r>
            <w:r>
              <w:rPr>
                <w:spacing w:val="4"/>
              </w:rPr>
              <w:t>； 控股股东</w:t>
            </w:r>
            <w:r>
              <w:rPr>
                <w:b/>
                <w:bCs/>
                <w:spacing w:val="4"/>
              </w:rPr>
              <w:t>违规减持</w:t>
            </w:r>
            <w:r>
              <w:rPr>
                <w:spacing w:val="4"/>
              </w:rPr>
              <w:t>。</w:t>
            </w:r>
          </w:p>
        </w:tc>
      </w:tr>
      <w:tr>
        <w:trPr>
          <w:trHeight w:val="725" w:hRule="atLeast"/>
        </w:trPr>
        <w:tc>
          <w:tcPr>
            <w:shd w:val="clear" w:fill="C7DAF1"/>
            <w:tcW w:w="1471" w:type="dxa"/>
            <w:vAlign w:val="top"/>
          </w:tcPr>
          <w:p>
            <w:pPr>
              <w:pStyle w:val="TableText"/>
              <w:ind w:left="373"/>
              <w:spacing w:before="282" w:line="178" w:lineRule="auto"/>
              <w:rPr/>
            </w:pPr>
            <w:r>
              <w:rPr>
                <w:spacing w:val="3"/>
              </w:rPr>
              <w:t>002309</w:t>
            </w:r>
          </w:p>
        </w:tc>
        <w:tc>
          <w:tcPr>
            <w:shd w:val="clear" w:fill="C7DAF1"/>
            <w:tcW w:w="1484" w:type="dxa"/>
            <w:vAlign w:val="top"/>
          </w:tcPr>
          <w:p>
            <w:pPr>
              <w:pStyle w:val="TableText"/>
              <w:ind w:left="368"/>
              <w:spacing w:before="268" w:line="189" w:lineRule="auto"/>
              <w:rPr/>
            </w:pPr>
            <w:r>
              <w:rPr>
                <w:spacing w:val="8"/>
              </w:rPr>
              <w:t>*</w:t>
            </w:r>
            <w:r>
              <w:rPr/>
              <w:t>ST</w:t>
            </w:r>
            <w:r>
              <w:rPr>
                <w:spacing w:val="8"/>
              </w:rPr>
              <w:t>中利</w:t>
            </w:r>
          </w:p>
        </w:tc>
        <w:tc>
          <w:tcPr>
            <w:shd w:val="clear" w:fill="C7DAF1"/>
            <w:tcW w:w="1498" w:type="dxa"/>
            <w:vAlign w:val="top"/>
          </w:tcPr>
          <w:p>
            <w:pPr>
              <w:pStyle w:val="TableText"/>
              <w:ind w:left="327"/>
              <w:spacing w:before="270" w:line="187" w:lineRule="auto"/>
              <w:rPr/>
            </w:pPr>
            <w:r>
              <w:rPr>
                <w:spacing w:val="8"/>
              </w:rPr>
              <w:t>公开谴责</w:t>
            </w:r>
          </w:p>
        </w:tc>
        <w:tc>
          <w:tcPr>
            <w:shd w:val="clear" w:fill="C7DAF1"/>
            <w:tcW w:w="4563" w:type="dxa"/>
            <w:vAlign w:val="top"/>
          </w:tcPr>
          <w:p>
            <w:pPr>
              <w:pStyle w:val="TableText"/>
              <w:ind w:left="109" w:right="253"/>
              <w:spacing w:before="91" w:line="218" w:lineRule="auto"/>
              <w:rPr/>
            </w:pPr>
            <w:r>
              <w:rPr>
                <w:b/>
                <w:bCs/>
                <w:spacing w:val="3"/>
              </w:rPr>
              <w:t>虚增</w:t>
            </w:r>
            <w:r>
              <w:rPr>
                <w:spacing w:val="3"/>
              </w:rPr>
              <w:t>营业收入、利润总额； 违规</w:t>
            </w:r>
            <w:r>
              <w:rPr>
                <w:b/>
                <w:bCs/>
                <w:spacing w:val="3"/>
              </w:rPr>
              <w:t>资金占用</w:t>
            </w:r>
            <w:r>
              <w:rPr>
                <w:spacing w:val="3"/>
              </w:rPr>
              <w:t>； 违</w:t>
            </w:r>
            <w:r>
              <w:rPr>
                <w:spacing w:val="9"/>
              </w:rPr>
              <w:t xml:space="preserve"> </w:t>
            </w:r>
            <w:r>
              <w:rPr>
                <w:spacing w:val="4"/>
              </w:rPr>
              <w:t>规</w:t>
            </w:r>
            <w:r>
              <w:rPr>
                <w:b/>
                <w:bCs/>
                <w:spacing w:val="4"/>
              </w:rPr>
              <w:t>对外担保</w:t>
            </w:r>
            <w:r>
              <w:rPr>
                <w:spacing w:val="4"/>
              </w:rPr>
              <w:t>； 控股股东</w:t>
            </w:r>
            <w:r>
              <w:rPr>
                <w:b/>
                <w:bCs/>
                <w:spacing w:val="4"/>
              </w:rPr>
              <w:t>违规减持</w:t>
            </w:r>
            <w:r>
              <w:rPr>
                <w:spacing w:val="4"/>
              </w:rPr>
              <w:t>。</w:t>
            </w:r>
          </w:p>
        </w:tc>
      </w:tr>
      <w:tr>
        <w:trPr>
          <w:trHeight w:val="725" w:hRule="atLeast"/>
        </w:trPr>
        <w:tc>
          <w:tcPr>
            <w:tcW w:w="1471" w:type="dxa"/>
            <w:vAlign w:val="top"/>
          </w:tcPr>
          <w:p>
            <w:pPr>
              <w:pStyle w:val="TableText"/>
              <w:ind w:left="379"/>
              <w:spacing w:before="282" w:line="178" w:lineRule="auto"/>
              <w:rPr/>
            </w:pPr>
            <w:r>
              <w:rPr>
                <w:spacing w:val="3"/>
              </w:rPr>
              <w:t>300070</w:t>
            </w:r>
          </w:p>
        </w:tc>
        <w:tc>
          <w:tcPr>
            <w:tcW w:w="1484" w:type="dxa"/>
            <w:vAlign w:val="top"/>
          </w:tcPr>
          <w:p>
            <w:pPr>
              <w:pStyle w:val="TableText"/>
              <w:ind w:left="425"/>
              <w:spacing w:before="267" w:line="189" w:lineRule="auto"/>
              <w:rPr/>
            </w:pPr>
            <w:r>
              <w:rPr>
                <w:spacing w:val="8"/>
              </w:rPr>
              <w:t>碧水源</w:t>
            </w:r>
          </w:p>
        </w:tc>
        <w:tc>
          <w:tcPr>
            <w:tcW w:w="1498" w:type="dxa"/>
            <w:vAlign w:val="top"/>
          </w:tcPr>
          <w:p>
            <w:pPr>
              <w:pStyle w:val="TableText"/>
              <w:ind w:left="327"/>
              <w:spacing w:before="269" w:line="188" w:lineRule="auto"/>
              <w:rPr/>
            </w:pPr>
            <w:r>
              <w:rPr>
                <w:spacing w:val="8"/>
              </w:rPr>
              <w:t>通报批评</w:t>
            </w:r>
          </w:p>
        </w:tc>
        <w:tc>
          <w:tcPr>
            <w:tcW w:w="4563" w:type="dxa"/>
            <w:vAlign w:val="top"/>
          </w:tcPr>
          <w:p>
            <w:pPr>
              <w:pStyle w:val="TableText"/>
              <w:ind w:left="109" w:right="253"/>
              <w:spacing w:before="88" w:line="219" w:lineRule="auto"/>
              <w:rPr/>
            </w:pPr>
            <w:r>
              <w:rPr>
                <w:spacing w:val="9"/>
              </w:rPr>
              <w:t>被动减持行为发生在中国城乡收购完成后</w:t>
            </w:r>
            <w:r>
              <w:rPr>
                <w:b/>
                <w:bCs/>
                <w:spacing w:val="9"/>
              </w:rPr>
              <w:t>十八</w:t>
            </w:r>
            <w:r>
              <w:rPr>
                <w:b/>
                <w:bCs/>
                <w:spacing w:val="13"/>
              </w:rPr>
              <w:t xml:space="preserve"> </w:t>
            </w:r>
            <w:r>
              <w:rPr>
                <w:b/>
                <w:bCs/>
                <w:spacing w:val="6"/>
              </w:rPr>
              <w:t>个月内。</w:t>
            </w:r>
          </w:p>
        </w:tc>
      </w:tr>
      <w:tr>
        <w:trPr>
          <w:trHeight w:val="1085" w:hRule="atLeast"/>
        </w:trPr>
        <w:tc>
          <w:tcPr>
            <w:shd w:val="clear" w:fill="C7DAF1"/>
            <w:tcW w:w="1471" w:type="dxa"/>
            <w:vAlign w:val="top"/>
          </w:tcPr>
          <w:p>
            <w:pPr>
              <w:spacing w:line="374" w:lineRule="auto"/>
              <w:rPr>
                <w:rFonts w:ascii="Arial"/>
                <w:sz w:val="21"/>
              </w:rPr>
            </w:pPr>
            <w:r/>
          </w:p>
          <w:p>
            <w:pPr>
              <w:pStyle w:val="TableText"/>
              <w:ind w:left="373"/>
              <w:spacing w:before="86" w:line="179" w:lineRule="auto"/>
              <w:rPr/>
            </w:pPr>
            <w:r>
              <w:rPr>
                <w:spacing w:val="3"/>
              </w:rPr>
              <w:t>002169</w:t>
            </w:r>
          </w:p>
        </w:tc>
        <w:tc>
          <w:tcPr>
            <w:shd w:val="clear" w:fill="C7DAF1"/>
            <w:tcW w:w="1484" w:type="dxa"/>
            <w:vAlign w:val="top"/>
          </w:tcPr>
          <w:p>
            <w:pPr>
              <w:spacing w:line="361" w:lineRule="auto"/>
              <w:rPr>
                <w:rFonts w:ascii="Arial"/>
                <w:sz w:val="21"/>
              </w:rPr>
            </w:pPr>
            <w:r/>
          </w:p>
          <w:p>
            <w:pPr>
              <w:pStyle w:val="TableText"/>
              <w:ind w:left="318"/>
              <w:spacing w:before="86" w:line="189" w:lineRule="auto"/>
              <w:rPr/>
            </w:pPr>
            <w:r>
              <w:rPr>
                <w:spacing w:val="8"/>
              </w:rPr>
              <w:t>智光电气</w:t>
            </w:r>
          </w:p>
        </w:tc>
        <w:tc>
          <w:tcPr>
            <w:shd w:val="clear" w:fill="C7DAF1"/>
            <w:tcW w:w="1498" w:type="dxa"/>
            <w:vAlign w:val="top"/>
          </w:tcPr>
          <w:p>
            <w:pPr>
              <w:spacing w:line="363" w:lineRule="auto"/>
              <w:rPr>
                <w:rFonts w:ascii="Arial"/>
                <w:sz w:val="21"/>
              </w:rPr>
            </w:pPr>
            <w:r/>
          </w:p>
          <w:p>
            <w:pPr>
              <w:pStyle w:val="TableText"/>
              <w:ind w:left="327"/>
              <w:spacing w:before="85" w:line="188" w:lineRule="auto"/>
              <w:rPr/>
            </w:pPr>
            <w:r>
              <w:rPr>
                <w:spacing w:val="8"/>
              </w:rPr>
              <w:t>通报批评</w:t>
            </w:r>
          </w:p>
        </w:tc>
        <w:tc>
          <w:tcPr>
            <w:shd w:val="clear" w:fill="C7DAF1"/>
            <w:tcW w:w="4563" w:type="dxa"/>
            <w:vAlign w:val="top"/>
          </w:tcPr>
          <w:p>
            <w:pPr>
              <w:pStyle w:val="TableText"/>
              <w:ind w:left="109" w:right="181"/>
              <w:spacing w:before="88" w:line="230" w:lineRule="auto"/>
              <w:jc w:val="both"/>
              <w:rPr/>
            </w:pPr>
            <w:r>
              <w:rPr>
                <w:spacing w:val="9"/>
              </w:rPr>
              <w:t>公司2023年度净利润为负值且与上一年度相比</w:t>
            </w:r>
            <w:r>
              <w:rPr/>
              <w:t xml:space="preserve"> </w:t>
            </w:r>
            <w:r>
              <w:rPr>
                <w:spacing w:val="6"/>
              </w:rPr>
              <w:t>下降50%以上， 未能在会计年度结束之日起一</w:t>
            </w:r>
            <w:r>
              <w:rPr>
                <w:spacing w:val="1"/>
              </w:rPr>
              <w:t xml:space="preserve">  </w:t>
            </w:r>
            <w:r>
              <w:rPr>
                <w:spacing w:val="7"/>
              </w:rPr>
              <w:t>个月内进行</w:t>
            </w:r>
            <w:r>
              <w:rPr>
                <w:b/>
                <w:bCs/>
                <w:spacing w:val="7"/>
              </w:rPr>
              <w:t>预告</w:t>
            </w:r>
            <w:r>
              <w:rPr>
                <w:spacing w:val="7"/>
              </w:rPr>
              <w:t>。</w:t>
            </w:r>
          </w:p>
        </w:tc>
      </w:tr>
      <w:tr>
        <w:trPr>
          <w:trHeight w:val="725" w:hRule="atLeast"/>
        </w:trPr>
        <w:tc>
          <w:tcPr>
            <w:tcW w:w="1471" w:type="dxa"/>
            <w:vAlign w:val="top"/>
          </w:tcPr>
          <w:p>
            <w:pPr>
              <w:pStyle w:val="TableText"/>
              <w:ind w:left="379"/>
              <w:spacing w:before="284" w:line="178" w:lineRule="auto"/>
              <w:rPr/>
            </w:pPr>
            <w:r>
              <w:rPr>
                <w:spacing w:val="3"/>
              </w:rPr>
              <w:t>300374</w:t>
            </w:r>
          </w:p>
        </w:tc>
        <w:tc>
          <w:tcPr>
            <w:tcW w:w="1484" w:type="dxa"/>
            <w:vAlign w:val="top"/>
          </w:tcPr>
          <w:p>
            <w:pPr>
              <w:pStyle w:val="TableText"/>
              <w:ind w:left="333"/>
              <w:spacing w:before="269" w:line="189" w:lineRule="auto"/>
              <w:rPr/>
            </w:pPr>
            <w:r>
              <w:rPr>
                <w:spacing w:val="5"/>
              </w:rPr>
              <w:t>中铁装配</w:t>
            </w:r>
          </w:p>
        </w:tc>
        <w:tc>
          <w:tcPr>
            <w:tcW w:w="1498" w:type="dxa"/>
            <w:vAlign w:val="top"/>
          </w:tcPr>
          <w:p>
            <w:pPr>
              <w:pStyle w:val="TableText"/>
              <w:ind w:left="327"/>
              <w:spacing w:before="270" w:line="188" w:lineRule="auto"/>
              <w:rPr/>
            </w:pPr>
            <w:r>
              <w:rPr>
                <w:spacing w:val="8"/>
              </w:rPr>
              <w:t>通报批评</w:t>
            </w:r>
          </w:p>
        </w:tc>
        <w:tc>
          <w:tcPr>
            <w:tcW w:w="4563" w:type="dxa"/>
            <w:vAlign w:val="top"/>
          </w:tcPr>
          <w:p>
            <w:pPr>
              <w:pStyle w:val="TableText"/>
              <w:ind w:left="110" w:right="253"/>
              <w:spacing w:before="91" w:line="218" w:lineRule="auto"/>
              <w:rPr/>
            </w:pPr>
            <w:r>
              <w:rPr>
                <w:spacing w:val="9"/>
              </w:rPr>
              <w:t>董事卖出公司股份的时间发生在公司</w:t>
            </w:r>
            <w:r>
              <w:rPr>
                <w:b/>
                <w:bCs/>
                <w:spacing w:val="9"/>
              </w:rPr>
              <w:t>业绩预告</w:t>
            </w:r>
            <w:r>
              <w:rPr>
                <w:b/>
                <w:bCs/>
                <w:spacing w:val="12"/>
              </w:rPr>
              <w:t xml:space="preserve"> </w:t>
            </w:r>
            <w:r>
              <w:rPr>
                <w:b/>
                <w:bCs/>
                <w:spacing w:val="7"/>
              </w:rPr>
              <w:t>公告前十日</w:t>
            </w:r>
            <w:r>
              <w:rPr>
                <w:spacing w:val="7"/>
              </w:rPr>
              <w:t>内。</w:t>
            </w:r>
          </w:p>
        </w:tc>
      </w:tr>
      <w:tr>
        <w:trPr>
          <w:trHeight w:val="730" w:hRule="atLeast"/>
        </w:trPr>
        <w:tc>
          <w:tcPr>
            <w:shd w:val="clear" w:fill="C7DAF1"/>
            <w:tcW w:w="1471" w:type="dxa"/>
            <w:vAlign w:val="top"/>
          </w:tcPr>
          <w:p>
            <w:pPr>
              <w:pStyle w:val="TableText"/>
              <w:ind w:left="379"/>
              <w:spacing w:before="284" w:line="179" w:lineRule="auto"/>
              <w:rPr/>
            </w:pPr>
            <w:r>
              <w:rPr>
                <w:spacing w:val="3"/>
              </w:rPr>
              <w:t>300317</w:t>
            </w:r>
          </w:p>
        </w:tc>
        <w:tc>
          <w:tcPr>
            <w:shd w:val="clear" w:fill="C7DAF1"/>
            <w:tcW w:w="1484" w:type="dxa"/>
            <w:vAlign w:val="top"/>
          </w:tcPr>
          <w:p>
            <w:pPr>
              <w:pStyle w:val="TableText"/>
              <w:ind w:left="319"/>
              <w:spacing w:before="269" w:line="190" w:lineRule="auto"/>
              <w:rPr/>
            </w:pPr>
            <w:r>
              <w:rPr>
                <w:spacing w:val="8"/>
              </w:rPr>
              <w:t>珈伟新能</w:t>
            </w:r>
          </w:p>
        </w:tc>
        <w:tc>
          <w:tcPr>
            <w:shd w:val="clear" w:fill="C7DAF1"/>
            <w:tcW w:w="1498" w:type="dxa"/>
            <w:vAlign w:val="top"/>
          </w:tcPr>
          <w:p>
            <w:pPr>
              <w:pStyle w:val="TableText"/>
              <w:ind w:left="327"/>
              <w:spacing w:before="272" w:line="188" w:lineRule="auto"/>
              <w:rPr/>
            </w:pPr>
            <w:r>
              <w:rPr>
                <w:spacing w:val="8"/>
              </w:rPr>
              <w:t>通报批评</w:t>
            </w:r>
          </w:p>
        </w:tc>
        <w:tc>
          <w:tcPr>
            <w:shd w:val="clear" w:fill="C7DAF1"/>
            <w:tcW w:w="4563" w:type="dxa"/>
            <w:vAlign w:val="top"/>
          </w:tcPr>
          <w:p>
            <w:pPr>
              <w:pStyle w:val="TableText"/>
              <w:ind w:left="113" w:right="253" w:hanging="2"/>
              <w:spacing w:before="90" w:line="220" w:lineRule="auto"/>
              <w:rPr/>
            </w:pPr>
            <w:r>
              <w:rPr>
                <w:spacing w:val="9"/>
              </w:rPr>
              <w:t>阜阳泉赋一致行动人减持行为发生在阜阳泉赋</w:t>
            </w:r>
            <w:r>
              <w:rPr>
                <w:spacing w:val="12"/>
              </w:rPr>
              <w:t xml:space="preserve"> </w:t>
            </w:r>
            <w:r>
              <w:rPr>
                <w:spacing w:val="8"/>
              </w:rPr>
              <w:t>收购上市公司后的</w:t>
            </w:r>
            <w:r>
              <w:rPr>
                <w:b/>
                <w:bCs/>
                <w:spacing w:val="8"/>
              </w:rPr>
              <w:t>十八个月内。</w:t>
            </w:r>
          </w:p>
        </w:tc>
      </w:tr>
    </w:tbl>
    <w:p>
      <w:pPr>
        <w:pStyle w:val="BodyText"/>
        <w:spacing w:line="369" w:lineRule="auto"/>
        <w:rPr/>
      </w:pPr>
      <w:r/>
    </w:p>
    <w:p>
      <w:pPr>
        <w:ind w:left="298"/>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4"/>
        </w:rPr>
        <w:t>（2） 问询函件</w:t>
      </w:r>
    </w:p>
    <w:p>
      <w:pPr>
        <w:ind w:left="474"/>
        <w:spacing w:before="151"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6"/>
        </w:rPr>
        <w:t>2024 年 8 月 19</w:t>
      </w:r>
      <w:r>
        <w:rPr>
          <w:rFonts w:ascii="Microsoft YaHei" w:hAnsi="Microsoft YaHei" w:eastAsia="Microsoft YaHei" w:cs="Microsoft YaHei"/>
          <w:sz w:val="24"/>
          <w:szCs w:val="24"/>
          <w:spacing w:val="28"/>
        </w:rPr>
        <w:t xml:space="preserve"> </w:t>
      </w:r>
      <w:r>
        <w:rPr>
          <w:rFonts w:ascii="Microsoft YaHei" w:hAnsi="Microsoft YaHei" w:eastAsia="Microsoft YaHei" w:cs="Microsoft YaHei"/>
          <w:sz w:val="24"/>
          <w:szCs w:val="24"/>
          <w:spacing w:val="-6"/>
        </w:rPr>
        <w:t>日-8 月 25</w:t>
      </w:r>
      <w:r>
        <w:rPr>
          <w:rFonts w:ascii="Microsoft YaHei" w:hAnsi="Microsoft YaHei" w:eastAsia="Microsoft YaHei" w:cs="Microsoft YaHei"/>
          <w:sz w:val="24"/>
          <w:szCs w:val="24"/>
          <w:spacing w:val="26"/>
        </w:rPr>
        <w:t xml:space="preserve"> </w:t>
      </w:r>
      <w:r>
        <w:rPr>
          <w:rFonts w:ascii="Microsoft YaHei" w:hAnsi="Microsoft YaHei" w:eastAsia="Microsoft YaHei" w:cs="Microsoft YaHei"/>
          <w:sz w:val="24"/>
          <w:szCs w:val="24"/>
          <w:spacing w:val="-6"/>
        </w:rPr>
        <w:t>日， 深交所官网未查询到问询函件。</w:t>
      </w:r>
    </w:p>
    <w:p>
      <w:pPr>
        <w:pStyle w:val="BodyText"/>
        <w:spacing w:line="272" w:lineRule="auto"/>
        <w:rPr/>
      </w:pPr>
      <w:r/>
    </w:p>
    <w:p>
      <w:pPr>
        <w:ind w:left="472"/>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2"/>
        </w:rPr>
        <w:t>2、市场交易监管动态</w:t>
      </w:r>
    </w:p>
    <w:p>
      <w:pPr>
        <w:pStyle w:val="BodyText"/>
        <w:spacing w:line="274" w:lineRule="auto"/>
        <w:rPr/>
      </w:pPr>
      <w:r/>
    </w:p>
    <w:p>
      <w:pPr>
        <w:ind w:firstLine="474"/>
        <w:spacing w:before="103" w:line="35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6"/>
        </w:rPr>
        <w:t>20</w:t>
      </w:r>
      <w:r>
        <w:rPr>
          <w:rFonts w:ascii="Microsoft YaHei" w:hAnsi="Microsoft YaHei" w:eastAsia="Microsoft YaHei" w:cs="Microsoft YaHei"/>
          <w:sz w:val="24"/>
          <w:szCs w:val="24"/>
          <w:spacing w:val="-5"/>
        </w:rPr>
        <w:t>24 年 8 月</w:t>
      </w:r>
      <w:r>
        <w:rPr>
          <w:rFonts w:ascii="Microsoft YaHei" w:hAnsi="Microsoft YaHei" w:eastAsia="Microsoft YaHei" w:cs="Microsoft YaHei"/>
          <w:sz w:val="24"/>
          <w:szCs w:val="24"/>
          <w:spacing w:val="16"/>
        </w:rPr>
        <w:t xml:space="preserve"> </w:t>
      </w:r>
      <w:r>
        <w:rPr>
          <w:rFonts w:ascii="Microsoft YaHei" w:hAnsi="Microsoft YaHei" w:eastAsia="Microsoft YaHei" w:cs="Microsoft YaHei"/>
          <w:sz w:val="24"/>
          <w:szCs w:val="24"/>
          <w:spacing w:val="-5"/>
        </w:rPr>
        <w:t>19</w:t>
      </w:r>
      <w:r>
        <w:rPr>
          <w:rFonts w:ascii="Microsoft YaHei" w:hAnsi="Microsoft YaHei" w:eastAsia="Microsoft YaHei" w:cs="Microsoft YaHei"/>
          <w:sz w:val="24"/>
          <w:szCs w:val="24"/>
          <w:spacing w:val="26"/>
          <w:w w:val="101"/>
        </w:rPr>
        <w:t xml:space="preserve"> </w:t>
      </w:r>
      <w:r>
        <w:rPr>
          <w:rFonts w:ascii="Microsoft YaHei" w:hAnsi="Microsoft YaHei" w:eastAsia="Microsoft YaHei" w:cs="Microsoft YaHei"/>
          <w:sz w:val="24"/>
          <w:szCs w:val="24"/>
          <w:spacing w:val="-5"/>
        </w:rPr>
        <w:t>日-8 月 25</w:t>
      </w:r>
      <w:r>
        <w:rPr>
          <w:rFonts w:ascii="Microsoft YaHei" w:hAnsi="Microsoft YaHei" w:eastAsia="Microsoft YaHei" w:cs="Microsoft YaHei"/>
          <w:sz w:val="24"/>
          <w:szCs w:val="24"/>
          <w:spacing w:val="26"/>
        </w:rPr>
        <w:t xml:space="preserve"> </w:t>
      </w:r>
      <w:r>
        <w:rPr>
          <w:rFonts w:ascii="Microsoft YaHei" w:hAnsi="Microsoft YaHei" w:eastAsia="Microsoft YaHei" w:cs="Microsoft YaHei"/>
          <w:sz w:val="24"/>
          <w:szCs w:val="24"/>
          <w:spacing w:val="-5"/>
        </w:rPr>
        <w:t>日， 深交所共对 84 </w:t>
      </w:r>
      <w:r>
        <w:rPr>
          <w:rFonts w:ascii="Microsoft YaHei" w:hAnsi="Microsoft YaHei" w:eastAsia="Microsoft YaHei" w:cs="Microsoft YaHei"/>
          <w:sz w:val="24"/>
          <w:szCs w:val="24"/>
          <w:spacing w:val="-6"/>
        </w:rPr>
        <w:t>起证券异常交易行为采取了自律监管措施， 涉及</w:t>
      </w:r>
      <w:r>
        <w:rPr>
          <w:rFonts w:ascii="Microsoft YaHei" w:hAnsi="Microsoft YaHei" w:eastAsia="Microsoft YaHei" w:cs="Microsoft YaHei"/>
          <w:sz w:val="24"/>
          <w:szCs w:val="24"/>
          <w:spacing w:val="-4"/>
        </w:rPr>
        <w:t>盘</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3"/>
        </w:rPr>
        <w:t>中拉抬打压、虚假申报等异常交易情形； 共对 17 起上市公司重大事项进行核查。</w:t>
      </w:r>
    </w:p>
    <w:sectPr>
      <w:pgSz w:w="11910" w:h="16840"/>
      <w:pgMar w:top="400" w:right="639" w:bottom="0" w:left="458"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0</wp:posOffset>
          </wp:positionH>
          <wp:positionV relativeFrom="page">
            <wp:posOffset>0</wp:posOffset>
          </wp:positionV>
          <wp:extent cx="7562850" cy="7441692"/>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562850" cy="7441692"/>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ict>
        <v:shape id="_x0000_s26" style="position:absolute;margin-left:120.654pt;margin-top:81.178pt;mso-position-vertical-relative:page;mso-position-horizontal-relative:page;width:13.8pt;height:17.7pt;z-index:251659264;" o:allowincell="f" filled="false" stroked="false" type="#_x0000_t202">
          <v:fill on="false"/>
          <v:stroke on="false"/>
          <v:path/>
          <v:imagedata o:title=""/>
          <o:lock v:ext="edit" aspectratio="false"/>
          <v:textbox inset="0mm,0mm,0mm,0mm">
            <w:txbxContent>
              <w:p>
                <w:pPr>
                  <w:ind w:left="20"/>
                  <w:spacing w:before="20" w:line="182"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rPr>
                  <w:t>管</w:t>
                </w:r>
              </w:p>
            </w:txbxContent>
          </v:textbox>
        </v:shape>
      </w:pict>
    </w: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8.jpeg"/><Relationship Id="rId8" Type="http://schemas.openxmlformats.org/officeDocument/2006/relationships/image" Target="media/image7.jpeg"/><Relationship Id="rId7" Type="http://schemas.openxmlformats.org/officeDocument/2006/relationships/image" Target="media/image6.jpeg"/><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media/image3.jpeg"/><Relationship Id="rId3" Type="http://schemas.openxmlformats.org/officeDocument/2006/relationships/image" Target="media/image2.jpeg"/><Relationship Id="rId20" Type="http://schemas.openxmlformats.org/officeDocument/2006/relationships/fontTable" Target="fontTable.xml"/><Relationship Id="rId2" Type="http://schemas.openxmlformats.org/officeDocument/2006/relationships/header" Target="header2.xml"/><Relationship Id="rId19" Type="http://schemas.openxmlformats.org/officeDocument/2006/relationships/styles" Target="styles.xml"/><Relationship Id="rId18" Type="http://schemas.openxmlformats.org/officeDocument/2006/relationships/settings" Target="settings.xml"/><Relationship Id="rId17" Type="http://schemas.openxmlformats.org/officeDocument/2006/relationships/image" Target="media/image15.jpeg"/><Relationship Id="rId16" Type="http://schemas.openxmlformats.org/officeDocument/2006/relationships/image" Target="media/image14.jpeg"/><Relationship Id="rId15" Type="http://schemas.openxmlformats.org/officeDocument/2006/relationships/image" Target="media/image13.jpeg"/><Relationship Id="rId14" Type="http://schemas.openxmlformats.org/officeDocument/2006/relationships/image" Target="media/image12.jpeg"/><Relationship Id="rId13" Type="http://schemas.openxmlformats.org/officeDocument/2006/relationships/image" Target="media/image11.jpeg"/><Relationship Id="rId12" Type="http://schemas.openxmlformats.org/officeDocument/2006/relationships/header" Target="header3.xml"/><Relationship Id="rId11" Type="http://schemas.openxmlformats.org/officeDocument/2006/relationships/image" Target="media/image10.jpeg"/><Relationship Id="rId10" Type="http://schemas.openxmlformats.org/officeDocument/2006/relationships/image" Target="media/image9.jpe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2024-08-26T11:05:36Z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2024-09-09T09:18:44</vt:filetime>
  </property>
</Properties>
</file>