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2589"/>
        <w:spacing w:before="361" w:line="213" w:lineRule="auto"/>
        <w:outlineLvl w:val="0"/>
        <w:rPr>
          <w:rFonts w:ascii="Microsoft YaHei" w:hAnsi="Microsoft YaHei" w:eastAsia="Microsoft YaHei" w:cs="Microsoft YaHei"/>
          <w:sz w:val="84"/>
          <w:szCs w:val="84"/>
        </w:rPr>
      </w:pPr>
      <w:r>
        <w:rPr>
          <w:rFonts w:ascii="Microsoft YaHei" w:hAnsi="Microsoft YaHei" w:eastAsia="Microsoft YaHei" w:cs="Microsoft YaHei"/>
          <w:sz w:val="84"/>
          <w:szCs w:val="84"/>
          <w:b/>
          <w:bCs/>
          <w:color w:val="FFFFFF"/>
          <w:spacing w:val="-3"/>
        </w:rPr>
        <w:t>一周法规速递|监管动态</w:t>
      </w:r>
    </w:p>
    <w:p>
      <w:pPr>
        <w:ind w:left="5714"/>
        <w:spacing w:before="5" w:line="183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1"/>
        </w:rPr>
        <w:t>2024年08月12日—2024年08月18日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3697"/>
        <w:spacing w:before="133" w:line="188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9"/>
        </w:rPr>
        <w:t>深圳价值在线咨询顾问有限公司</w:t>
      </w:r>
    </w:p>
    <w:p>
      <w:pPr>
        <w:pStyle w:val="BodyText"/>
        <w:spacing w:line="274" w:lineRule="auto"/>
        <w:rPr/>
      </w:pPr>
      <w:r/>
    </w:p>
    <w:p>
      <w:pPr>
        <w:ind w:left="4583"/>
        <w:spacing w:before="132" w:line="187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5"/>
        </w:rPr>
        <w:t>2024年08月19日</w:t>
      </w:r>
    </w:p>
    <w:p>
      <w:pPr>
        <w:spacing w:line="187" w:lineRule="auto"/>
        <w:sectPr>
          <w:headerReference w:type="default" r:id="rId1"/>
          <w:pgSz w:w="11906" w:h="16838"/>
          <w:pgMar w:top="400" w:right="1" w:bottom="0" w:left="0" w:header="0" w:footer="0" w:gutter="0"/>
        </w:sectPr>
        <w:rPr>
          <w:rFonts w:ascii="Microsoft YaHei" w:hAnsi="Microsoft YaHei" w:eastAsia="Microsoft YaHei" w:cs="Microsoft YaHei"/>
          <w:sz w:val="31"/>
          <w:szCs w:val="31"/>
        </w:rPr>
      </w:pPr>
    </w:p>
    <w:p>
      <w:pPr>
        <w:rPr>
          <w:rFonts w:ascii="Microsoft YaHei" w:hAnsi="Microsoft YaHei" w:eastAsia="Microsoft YaHei" w:cs="Microsoft YaHei"/>
          <w:sz w:val="43"/>
          <w:szCs w:val="43"/>
        </w:rPr>
      </w:pPr>
      <w:r>
        <w:pict>
          <v:shape id="_x0000_s2" style="position:absolute;margin-left:27.12pt;margin-top:32.16pt;mso-position-vertical-relative:text;mso-position-horizontal-relative:text;width:4.45pt;height:4.6pt;z-index:251659264;" fillcolor="#FFFFFF" filled="true" stroked="false" coordsize="88,91" coordorigin="0,0" path="m45,91m45,91l28,86l14,76l4,62l0,43l4,26l14,14l28,4l45,0l60,4l74,14l83,26l88,43l83,62l74,76l60,86l45,91xe"/>
        </w:pict>
      </w:r>
      <w:r>
        <w:pict>
          <v:shape id="_x0000_s4" style="position:absolute;margin-left:63.78pt;margin-top:42.72pt;mso-position-vertical-relative:text;mso-position-horizontal-relative:text;width:528.75pt;height:7.35pt;z-index:-251658240;" filled="false" strokecolor="#A61C1F" strokeweight="2.76pt" coordsize="10575,146" coordorigin="0,0" path="m14,118l10526,118m0,27l10574,27e">
            <v:stroke miterlimit="10"/>
          </v:shape>
        </w:pict>
      </w:r>
      <w:r>
        <w:rPr>
          <w:rFonts w:ascii="Microsoft YaHei" w:hAnsi="Microsoft YaHei" w:eastAsia="Microsoft YaHei" w:cs="Microsoft YaHei"/>
          <w:sz w:val="43"/>
          <w:szCs w:val="43"/>
          <w:position w:val="-40"/>
        </w:rPr>
        <w:drawing>
          <wp:inline distT="0" distB="0" distL="0" distR="0">
            <wp:extent cx="801623" cy="626364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1623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43"/>
          <w:szCs w:val="43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法规速递</w:t>
      </w:r>
    </w:p>
    <w:p>
      <w:pPr>
        <w:pStyle w:val="BodyText"/>
        <w:spacing w:line="316" w:lineRule="auto"/>
        <w:rPr/>
      </w:pPr>
      <w:r/>
    </w:p>
    <w:p>
      <w:pPr>
        <w:ind w:left="1144"/>
        <w:spacing w:before="120" w:line="226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3"/>
        </w:rPr>
        <w:t>1、上海市场首次公开发行股票网下发行实施细则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3"/>
        </w:rPr>
        <w:t>（2024年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4"/>
        </w:rPr>
        <w:t>修订）</w:t>
      </w:r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ind w:left="1138"/>
        <w:spacing w:before="103" w:line="18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各市场参与人：</w:t>
      </w:r>
    </w:p>
    <w:p>
      <w:pPr>
        <w:ind w:left="658" w:right="604" w:firstLine="487"/>
        <w:spacing w:before="262" w:line="356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>为了落实中国证监会《关于深化科创板改革服务科技创新和新质生产力发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展的八条措施》的有关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"/>
        </w:rPr>
        <w:t>意见， 完善科创板新股市值配售安排， 根据《证券发行与承销管理办法》《上海证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4"/>
        </w:rPr>
        <w:t>券交易所首次公开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发行证券发行与承销业务实施细则》等有关规定， 上海证券交易所、中国证券登记结算有限责任公司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修订形成了《上海市场首次公开发行股票网下发行实施细则 （2024年修订） 》 （详见附件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6"/>
        </w:rPr>
        <w:t>），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现予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以发布， 并自2024年10月1日起施行。2023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年2月17日发布的《上海市场首次公开发行股票网下发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9"/>
        </w:rPr>
        <w:t>行实施细则 （2023年修订） 》 （上证发〔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9"/>
        </w:rPr>
        <w:t>2023〕36号） 同时废止。</w:t>
      </w:r>
    </w:p>
    <w:p>
      <w:pPr>
        <w:ind w:left="1138"/>
        <w:spacing w:before="80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特此通知。</w: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9533" w:right="597" w:hanging="3343"/>
        <w:spacing w:before="103" w:line="36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上海证券交易所中国证券登记结算有限责任公司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2024年8月16日</w:t>
      </w:r>
    </w:p>
    <w:p>
      <w:pPr>
        <w:pStyle w:val="BodyText"/>
        <w:spacing w:line="311" w:lineRule="auto"/>
        <w:rPr/>
      </w:pPr>
      <w:r/>
    </w:p>
    <w:p>
      <w:pPr>
        <w:pStyle w:val="BodyText"/>
        <w:spacing w:line="312" w:lineRule="auto"/>
        <w:rPr/>
      </w:pPr>
      <w:r/>
    </w:p>
    <w:p>
      <w:pPr>
        <w:ind w:firstLine="4067"/>
        <w:spacing w:before="1" w:line="3492" w:lineRule="exact"/>
        <w:rPr/>
      </w:pPr>
      <w:r>
        <w:rPr>
          <w:position w:val="-69"/>
        </w:rPr>
        <w:drawing>
          <wp:inline distT="0" distB="0" distL="0" distR="0">
            <wp:extent cx="2263139" cy="221742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3139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562"/>
        <w:spacing w:before="46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0B0B0B"/>
          <w:spacing w:val="-3"/>
        </w:rPr>
        <w:t>上海市场首次公开发行股票网下发行实施细则 （2024年修订）</w:t>
      </w:r>
    </w:p>
    <w:p>
      <w:pPr>
        <w:spacing w:line="225" w:lineRule="auto"/>
        <w:sectPr>
          <w:headerReference w:type="default" r:id="rId2"/>
          <w:pgSz w:w="11906" w:h="16838"/>
          <w:pgMar w:top="9" w:right="83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spacing w:line="1140" w:lineRule="exact"/>
        <w:rPr/>
      </w:pPr>
      <w:r>
        <w:rPr>
          <w:position w:val="-22"/>
        </w:rPr>
        <w:pict>
          <v:group id="_x0000_s6" style="mso-position-vertical-relative:line;mso-position-horizontal-relative:char;width:67.95pt;height:57pt;" filled="false" stroked="false" coordsize="1358,1140" coordorigin="0,0">
            <v:shape id="_x0000_s8" style="position:absolute;left:0;top:0;width:1358;height:1140;" fillcolor="#A61C1F" filled="true" stroked="false" coordsize="1358,1140" coordorigin="0,0" path="m,l1358,0l1358,1140l0,1140l0,0xe"/>
            <v:shape id="_x0000_s10" style="position:absolute;left:240;top:117;width:819;height:911;" fillcolor="#FFFFFF" filled="true" stroked="false" coordsize="819,911" coordorigin="0,0" path="m595,775l223,775l213,770l213,729l223,724l595,724l604,729l604,770l595,775xm583,707l237,707l225,698l225,686l213,633l180,583l136,532l88,480l45,422l12,362l0,297l0,290l7,237l23,187l50,143l84,105l127,71l177,45l230,26l287,9l347,2l410,0l470,2l530,9l588,26l643,45l691,71l734,105l736,107l367,107l360,115l360,124l355,148l355,151l235,151l201,175l189,184l177,194l172,199l172,208l177,213l208,242l211,244l211,247l204,259l196,268l192,278l187,290l187,290l184,290l182,292l170,292l124,297l117,302l117,369l124,374l136,376l182,381l184,381l187,381l187,383l192,393l196,405l204,415l211,424l211,427l201,436l192,443l177,458l172,465l172,472l177,480l225,515l235,520l355,520l357,537l360,547l360,559l367,563l648,563l638,578l604,628l592,686l592,698l583,707xm525,182l523,182l499,170l484,167l470,163l468,163l468,163l465,158l465,148l463,136l463,124l460,115l451,107l736,107l768,143l775,151l588,151l575,153l566,158l530,182l528,182l525,182xm295,182l292,182l290,182l280,175l271,170l261,163l252,158l244,153l235,151l355,151l352,158l352,163l350,163l347,163l335,167l321,170l307,175l295,182l295,182xm686,520l588,520l648,472l645,465l640,458l626,443l619,436l609,427l609,427l611,424l616,415l621,405l628,393l633,383l633,381l635,381l638,381l684,376l693,374l703,369l703,302l693,297l684,295l648,292l638,292l635,290l633,290l633,290l628,278l621,268l616,259l611,247l609,247l609,244l611,242l640,213l645,208l648,199l640,194l628,184l616,175l592,158l588,151l775,151l796,187l813,237l818,290l818,297l806,362l775,422l729,475l686,520xm410,446l355,439l309,415l278,379l268,335l278,295l309,259l355,235l410,227l465,235l511,259l540,295l551,335l540,379l511,415l465,439l410,446xm355,520l244,520l252,513l261,511l271,503l280,499l290,494l292,491l295,491l307,496l321,501l335,506l347,508l352,511l352,513l355,520xm648,563l451,563l460,559l463,547l463,537l465,525l465,513l468,511l468,511l470,508l499,501l511,496l523,491l528,491l530,494l540,499l549,503l559,511l566,513l575,520l686,520l681,525l648,563xm561,911l259,911l247,904l247,863l259,859l561,859l571,863l571,904l561,911xm583,844l235,844l227,837l227,796l235,789l583,789l592,796l592,837l583,844x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6" w:line="186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监管动态</w:t>
      </w:r>
    </w:p>
    <w:p>
      <w:pPr>
        <w:spacing w:line="186" w:lineRule="auto"/>
        <w:sectPr>
          <w:pgSz w:w="11906" w:h="16838"/>
          <w:pgMar w:top="7" w:right="66" w:bottom="0" w:left="0" w:header="0" w:footer="0" w:gutter="0"/>
          <w:cols w:equalWidth="0" w:num="2">
            <w:col w:w="1501" w:space="100"/>
            <w:col w:w="10239" w:space="0"/>
          </w:cols>
        </w:sectPr>
        <w:rPr>
          <w:rFonts w:ascii="Microsoft YaHei" w:hAnsi="Microsoft YaHei" w:eastAsia="Microsoft YaHei" w:cs="Microsoft YaHei"/>
          <w:sz w:val="43"/>
          <w:szCs w:val="43"/>
        </w:rPr>
      </w:pPr>
    </w:p>
    <w:p>
      <w:pPr>
        <w:pStyle w:val="BodyText"/>
        <w:spacing w:line="424" w:lineRule="auto"/>
        <w:rPr/>
      </w:pPr>
      <w:r>
        <w:pict>
          <v:shape id="_x0000_s12" style="position:absolute;margin-left:67.62pt;margin-top:-1.31995pt;mso-position-vertical-relative:text;mso-position-horizontal-relative:text;width:525.65pt;height:2.55pt;z-index:251662336;" filled="false" strokecolor="#A61C1F" strokeweight="2.52pt" coordsize="10513,50" coordorigin="0,0" path="m0,25l10512,25e">
            <v:stroke miterlimit="10"/>
          </v:shape>
        </w:pict>
      </w:r>
      <w:r/>
    </w:p>
    <w:p>
      <w:pPr>
        <w:ind w:firstLine="19"/>
        <w:spacing w:line="924" w:lineRule="exact"/>
        <w:rPr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655692</wp:posOffset>
            </wp:positionV>
            <wp:extent cx="3677411" cy="2543555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77411" cy="2543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8"/>
        </w:rPr>
        <w:pict>
          <v:group id="_x0000_s14" style="mso-position-vertical-relative:line;mso-position-horizontal-relative:char;width:134.3pt;height:46.25pt;" filled="false" stroked="false" coordsize="2686,925" coordorigin="0,0">
            <v:shape id="_x0000_s16" style="position:absolute;left:0;top:0;width:2686;height:925;" filled="false" stroked="false" type="#_x0000_t75">
              <v:imagedata o:title="" r:id="rId6"/>
            </v:shape>
            <v:shape id="_x0000_s18" style="position:absolute;left:-20;top:-20;width:272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83"/>
                      <w:spacing w:before="245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2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ind w:left="6158" w:right="592" w:firstLine="488"/>
        <w:spacing w:before="213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</w:rPr>
        <w:t>2024年8月12日-8月18日， 证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监会作出6份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监管文书； 证监局作出24份监管文书； 上交所作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出8份监管文书； 深交所作出11份监管文书。</w:t>
      </w:r>
    </w:p>
    <w:p>
      <w:pPr>
        <w:ind w:left="6155" w:right="592" w:firstLine="492"/>
        <w:spacing w:before="3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1493312</wp:posOffset>
            </wp:positionV>
            <wp:extent cx="3840479" cy="2737103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40479" cy="2737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4"/>
          <w:szCs w:val="24"/>
        </w:rPr>
        <w:t>2024年8月12日-8月18日， 证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监会对4个对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象立案调查， 作出1份行政处罚决定书，</w:t>
      </w:r>
      <w:r>
        <w:rPr>
          <w:rFonts w:ascii="Microsoft YaHei" w:hAnsi="Microsoft YaHei" w:eastAsia="Microsoft YaHei" w:cs="Microsoft YaHei"/>
          <w:sz w:val="24"/>
          <w:szCs w:val="24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1份行政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3"/>
        </w:rPr>
        <w:t>处罚事先告知书； 证监局作出4份行政处罚决定</w:t>
      </w:r>
      <w:r>
        <w:rPr>
          <w:rFonts w:ascii="Microsoft YaHei" w:hAnsi="Microsoft YaHei" w:eastAsia="Microsoft YaHei" w:cs="Microsoft YaHei"/>
          <w:sz w:val="24"/>
          <w:szCs w:val="24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书， 20份行政监管措施决定书。</w:t>
      </w:r>
    </w:p>
    <w:p>
      <w:pPr>
        <w:ind w:left="6209" w:right="592" w:firstLine="490"/>
        <w:spacing w:before="10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3"/>
        </w:rPr>
        <w:t>2024年8月12日-8月18日， 上交所公司监</w:t>
      </w:r>
      <w:r>
        <w:rPr>
          <w:rFonts w:ascii="Microsoft YaHei" w:hAnsi="Microsoft YaHei" w:eastAsia="Microsoft YaHei" w:cs="Microsoft YaHei"/>
          <w:sz w:val="24"/>
          <w:szCs w:val="24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5"/>
        </w:rPr>
        <w:t>管部门作出5份监管警示函， 对3宗行为予以纪</w:t>
      </w:r>
      <w:r>
        <w:rPr>
          <w:rFonts w:ascii="Microsoft YaHei" w:hAnsi="Microsoft YaHei" w:eastAsia="Microsoft YaHei" w:cs="Microsoft YaHei"/>
          <w:sz w:val="24"/>
          <w:szCs w:val="24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>律处分</w:t>
      </w:r>
      <w:r>
        <w:rPr>
          <w:rFonts w:ascii="Microsoft YaHei" w:hAnsi="Microsoft YaHei" w:eastAsia="Microsoft YaHei" w:cs="Microsoft YaHei"/>
          <w:sz w:val="24"/>
          <w:szCs w:val="24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>。</w:t>
      </w:r>
      <w:r>
        <w:rPr>
          <w:rFonts w:ascii="Microsoft YaHei" w:hAnsi="Microsoft YaHei" w:eastAsia="Microsoft YaHei" w:cs="Microsoft YaHei"/>
          <w:sz w:val="24"/>
          <w:szCs w:val="24"/>
          <w:spacing w:val="-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>同时， 加大信息披露和股价异常的联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7"/>
        </w:rPr>
        <w:t>动监管， 针对公司披露敏感信息或股价发生明</w:t>
      </w:r>
      <w:r>
        <w:rPr>
          <w:rFonts w:ascii="Microsoft YaHei" w:hAnsi="Microsoft YaHei" w:eastAsia="Microsoft YaHei" w:cs="Microsoft YaHei"/>
          <w:sz w:val="24"/>
          <w:szCs w:val="24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1"/>
        </w:rPr>
        <w:t>显异常的， 提请启动内幕交易、异常交易核查7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单。</w:t>
      </w:r>
    </w:p>
    <w:p>
      <w:pPr>
        <w:ind w:left="6122" w:right="592" w:firstLine="577"/>
        <w:spacing w:before="6" w:line="24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2024年8月12日-8月18日， 深交所发出6份</w:t>
      </w:r>
      <w:r>
        <w:rPr>
          <w:rFonts w:ascii="Microsoft YaHei" w:hAnsi="Microsoft YaHei" w:eastAsia="Microsoft YaHei" w:cs="Microsoft YaHei"/>
          <w:sz w:val="24"/>
          <w:szCs w:val="24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监管函,5份纪律处分措施。</w:t>
      </w:r>
    </w:p>
    <w:p>
      <w:pPr>
        <w:spacing w:line="249" w:lineRule="auto"/>
        <w:sectPr>
          <w:type w:val="continuous"/>
          <w:pgSz w:w="11906" w:h="16838"/>
          <w:pgMar w:top="7" w:right="66" w:bottom="0" w:left="0" w:header="0" w:footer="0" w:gutter="0"/>
          <w:cols w:equalWidth="0" w:num="1">
            <w:col w:w="11840" w:space="0"/>
          </w:cols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firstLine="9"/>
        <w:spacing w:line="1140" w:lineRule="exact"/>
        <w:rPr/>
      </w:pPr>
      <w:r>
        <w:rPr>
          <w:position w:val="-22"/>
        </w:rPr>
        <w:pict>
          <v:group id="_x0000_s20" style="mso-position-vertical-relative:line;mso-position-horizontal-relative:char;width:67.95pt;height:57pt;" filled="false" stroked="false" coordsize="1358,1140" coordorigin="0,0">
            <v:shape id="_x0000_s22" style="position:absolute;left:0;top:0;width:1358;height:1140;" fillcolor="#A61C1F" filled="true" stroked="false" coordsize="1358,1140" coordorigin="0,0" path="m,l1358,0l1358,1140l0,1140l0,0xe"/>
            <v:shape id="_x0000_s24" style="position:absolute;left:240;top:115;width:819;height:913;" fillcolor="#FFFFFF" filled="true" stroked="false" coordsize="819,913" coordorigin="0,0" path="m595,777l225,777l213,772l213,732l225,724l595,724l604,732l604,772l595,777xm583,708l237,708l225,700l225,688l213,635l182,585l136,532l88,480l45,424l14,362l0,297l0,292l7,237l24,189l50,144l86,105l129,74l177,48l230,26l287,12l347,4l410,0l470,4l530,12l588,26l643,48l691,74l734,105l736,110l367,110l360,117l360,124l355,148l355,153l235,153l201,177l189,187l177,196l172,201l172,208l177,215l208,244l211,244l211,249l204,259l196,268l192,280l187,292l187,292l184,292l182,295l170,295l124,297l117,304l117,372l124,376l136,376l182,381l184,381l187,384l187,386l192,395l196,405l204,417l211,427l211,429l201,439l194,446l177,460l172,465l172,475l177,480l225,518l235,523l355,523l357,540l360,549l360,559l367,566l650,566l638,578l604,631l592,688l592,700l583,708xm525,184l525,182l499,172l484,168l470,165l468,165l468,163l465,160l465,148l463,136l463,124l460,117l453,110l736,110l770,144l775,153l588,153l576,153l566,158l530,182l530,182l525,184xm295,184l292,182l290,182l280,177l271,170l261,165l252,158l244,153l235,153l355,153l352,160l352,163l350,165l350,165l336,168l321,172l309,177l295,182l295,184xm686,523l588,523l648,475l645,465l640,460l626,446l619,439l609,429l609,429l612,427l616,417l621,405l628,395l633,386l633,384l636,381l638,381l684,376l693,376l705,372l705,304l693,297l684,297l650,295l638,295l636,292l633,292l633,292l628,280l621,268l616,259l612,249l609,249l609,244l612,244l640,215l645,208l648,201l640,196l628,187l616,177l592,158l588,153l775,153l796,189l813,237l818,292l818,297l806,362l775,422l729,477l686,523xm410,448l355,439l309,415l278,381l268,338l278,295l309,261l355,237l410,228l465,237l511,261l540,295l552,338l540,381l511,415l465,439l410,448xm355,523l244,523l252,515l261,511l271,506l280,501l290,494l292,492l295,492l309,499l321,504l336,506l350,508l352,513l352,515l355,523xm650,566l453,566l460,559l463,549l463,540l465,525l465,513l468,513l468,511l470,508l499,504l511,499l525,492l530,492l530,494l540,501l549,506l559,511l566,515l576,523l686,523l681,528l650,566xm561,912l259,912l249,907l249,866l259,859l561,859l571,866l571,907l561,912xm583,844l237,844l227,840l227,796l237,792l583,792l592,796l592,840l583,844x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4" w:line="186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监管动态</w:t>
      </w:r>
    </w:p>
    <w:p>
      <w:pPr>
        <w:spacing w:line="186" w:lineRule="auto"/>
        <w:sectPr>
          <w:pgSz w:w="11906" w:h="16838"/>
          <w:pgMar w:top="7" w:right="56" w:bottom="0" w:left="0" w:header="0" w:footer="0" w:gutter="0"/>
          <w:cols w:equalWidth="0" w:num="2">
            <w:col w:w="1566" w:space="100"/>
            <w:col w:w="10184" w:space="0"/>
          </w:cols>
        </w:sectPr>
        <w:rPr>
          <w:rFonts w:ascii="Microsoft YaHei" w:hAnsi="Microsoft YaHei" w:eastAsia="Microsoft YaHei" w:cs="Microsoft YaHei"/>
          <w:sz w:val="43"/>
          <w:szCs w:val="43"/>
        </w:rPr>
      </w:pPr>
    </w:p>
    <w:p>
      <w:pPr>
        <w:pStyle w:val="BodyText"/>
        <w:spacing w:line="417" w:lineRule="auto"/>
        <w:rPr/>
      </w:pPr>
      <w:r>
        <w:pict>
          <v:shape id="_x0000_s26" style="position:absolute;margin-left:68.1pt;margin-top:-1.44pt;mso-position-vertical-relative:text;mso-position-horizontal-relative:text;width:525.6pt;height:2.55pt;z-index:251663360;" filled="false" strokecolor="#A61C1F" strokeweight="2.52pt" coordsize="10511,50" coordorigin="0,0" path="m0,25l10511,25e">
            <v:stroke miterlimit="10"/>
          </v:shape>
        </w:pict>
      </w:r>
      <w:r/>
    </w:p>
    <w:p>
      <w:pPr>
        <w:spacing w:line="924" w:lineRule="exact"/>
        <w:rPr/>
      </w:pPr>
      <w:r>
        <w:rPr>
          <w:position w:val="-18"/>
        </w:rPr>
        <w:pict>
          <v:group id="_x0000_s28" style="mso-position-vertical-relative:line;mso-position-horizontal-relative:char;width:188.2pt;height:46.25pt;" filled="false" stroked="false" coordsize="3763,925" coordorigin="0,0">
            <v:shape id="_x0000_s30" style="position:absolute;left:0;top:0;width:3763;height:925;" filled="false" stroked="false" type="#_x0000_t75">
              <v:imagedata o:title="" r:id="rId8"/>
            </v:shape>
            <v:shape id="_x0000_s32" style="position:absolute;left:-20;top:-20;width:3803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5"/>
                      <w:spacing w:before="298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92" w:lineRule="auto"/>
        <w:rPr/>
      </w:pPr>
      <w:r/>
    </w:p>
    <w:p>
      <w:pPr>
        <w:ind w:left="220" w:right="580" w:firstLine="492"/>
        <w:spacing w:before="103" w:line="36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</w:rPr>
        <w:t>2024年8月12日-8月18日， 证监会对4个对象立案调查， 作出1份行政处罚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决定书，</w:t>
      </w:r>
      <w:r>
        <w:rPr>
          <w:rFonts w:ascii="Microsoft YaHei" w:hAnsi="Microsoft YaHei" w:eastAsia="Microsoft YaHei" w:cs="Microsoft YaHei"/>
          <w:sz w:val="24"/>
          <w:szCs w:val="24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1份行政处罚事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先告知书； 证监局作出4份行政处罚决定书， 20份行政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监管措施决定书。</w:t>
      </w:r>
    </w:p>
    <w:p>
      <w:pPr>
        <w:ind w:left="749"/>
        <w:spacing w:before="26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0"/>
        </w:rPr>
        <w:t>（1） 行政处罚决定书</w:t>
      </w:r>
    </w:p>
    <w:p>
      <w:pPr>
        <w:spacing w:line="187" w:lineRule="exact"/>
        <w:rPr/>
      </w:pPr>
      <w:r/>
    </w:p>
    <w:tbl>
      <w:tblPr>
        <w:tblStyle w:val="TableNormal"/>
        <w:tblW w:w="8706" w:type="dxa"/>
        <w:tblInd w:w="150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313"/>
        <w:gridCol w:w="1449"/>
        <w:gridCol w:w="5944"/>
      </w:tblGrid>
      <w:tr>
        <w:trPr>
          <w:trHeight w:val="388" w:hRule="atLeast"/>
        </w:trPr>
        <w:tc>
          <w:tcPr>
            <w:shd w:val="clear" w:fill="4F81BD"/>
            <w:tcW w:w="131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29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449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96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94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544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88" w:hRule="atLeast"/>
        </w:trPr>
        <w:tc>
          <w:tcPr>
            <w:shd w:val="clear" w:fill="B8CCE4"/>
            <w:tcW w:w="1313" w:type="dxa"/>
            <w:vAlign w:val="top"/>
            <w:tcBorders>
              <w:top w:val="single" w:color="FFFFFF" w:sz="2" w:space="0"/>
            </w:tcBorders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8" w:lineRule="auto"/>
              <w:rPr/>
            </w:pPr>
            <w:r>
              <w:rPr>
                <w:spacing w:val="3"/>
              </w:rPr>
              <w:t>600745</w:t>
            </w:r>
          </w:p>
        </w:tc>
        <w:tc>
          <w:tcPr>
            <w:shd w:val="clear" w:fill="B8CCE4"/>
            <w:tcW w:w="1449" w:type="dxa"/>
            <w:vAlign w:val="top"/>
            <w:tcBorders>
              <w:top w:val="single" w:color="FFFFFF" w:sz="2" w:space="0"/>
            </w:tcBorders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85" w:line="189" w:lineRule="auto"/>
              <w:rPr/>
            </w:pPr>
            <w:r>
              <w:rPr>
                <w:spacing w:val="6"/>
              </w:rPr>
              <w:t>闻泰科技</w:t>
            </w:r>
          </w:p>
        </w:tc>
        <w:tc>
          <w:tcPr>
            <w:shd w:val="clear" w:fill="B8CCE4"/>
            <w:tcW w:w="594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 w:right="104"/>
              <w:spacing w:before="82" w:line="232" w:lineRule="auto"/>
              <w:jc w:val="both"/>
              <w:rPr/>
            </w:pPr>
            <w:r>
              <w:rPr>
                <w:spacing w:val="10"/>
              </w:rPr>
              <w:t>股东未如实向上市公司报告</w:t>
            </w:r>
            <w:r>
              <w:rPr>
                <w:b/>
                <w:bCs/>
                <w:spacing w:val="10"/>
              </w:rPr>
              <w:t>一致行动关系</w:t>
            </w:r>
            <w:r>
              <w:rPr>
                <w:spacing w:val="10"/>
              </w:rPr>
              <w:t>,导致闻泰</w:t>
            </w:r>
            <w:r>
              <w:rPr>
                <w:spacing w:val="9"/>
              </w:rPr>
              <w:t>科技上述定</w:t>
            </w:r>
            <w:r>
              <w:rPr/>
              <w:t xml:space="preserve"> </w:t>
            </w:r>
            <w:r>
              <w:rPr>
                <w:spacing w:val="17"/>
              </w:rPr>
              <w:t>期报告未能如实披露前十大股东的一致行动关系,存在重大遗</w:t>
            </w:r>
            <w:r>
              <w:rPr>
                <w:spacing w:val="14"/>
              </w:rPr>
              <w:t xml:space="preserve"> </w:t>
            </w:r>
            <w:r>
              <w:rPr>
                <w:spacing w:val="3"/>
              </w:rPr>
              <w:t>漏。</w:t>
            </w:r>
          </w:p>
        </w:tc>
      </w:tr>
      <w:tr>
        <w:trPr>
          <w:trHeight w:val="1444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22"/>
              <w:spacing w:before="36" w:line="237" w:lineRule="auto"/>
              <w:rPr/>
            </w:pPr>
            <w:r>
              <w:rPr>
                <w:b/>
                <w:bCs/>
                <w:spacing w:val="6"/>
              </w:rPr>
              <w:t>【行政处罚决定】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6"/>
              </w:rPr>
              <w:t>中国证监会决定:</w:t>
            </w:r>
          </w:p>
          <w:p>
            <w:pPr>
              <w:pStyle w:val="TableText"/>
              <w:ind w:left="105" w:right="104" w:firstLine="19"/>
              <w:spacing w:before="63" w:line="250" w:lineRule="auto"/>
              <w:rPr/>
            </w:pPr>
            <w:r>
              <w:rPr>
                <w:spacing w:val="11"/>
              </w:rPr>
              <w:t>1、对闻天下科技集团有限公司、</w:t>
            </w:r>
            <w:r>
              <w:rPr>
                <w:spacing w:val="-37"/>
              </w:rPr>
              <w:t xml:space="preserve"> </w:t>
            </w:r>
            <w:r>
              <w:rPr>
                <w:spacing w:val="11"/>
              </w:rPr>
              <w:t>张某政、傅某娜责令改正,给予警告,并分别处以500万元罚</w:t>
            </w:r>
            <w:r>
              <w:rPr/>
              <w:t xml:space="preserve"> </w:t>
            </w:r>
            <w:r>
              <w:rPr>
                <w:spacing w:val="4"/>
              </w:rPr>
              <w:t>款;</w:t>
            </w:r>
          </w:p>
          <w:p>
            <w:pPr>
              <w:pStyle w:val="TableText"/>
              <w:ind w:left="114"/>
              <w:spacing w:before="5" w:line="189" w:lineRule="auto"/>
              <w:rPr/>
            </w:pPr>
            <w:r>
              <w:rPr>
                <w:spacing w:val="9"/>
              </w:rPr>
              <w:t>2、对闻天下科技集团有限公司直接负责的主管人员张某政给予警告,并处</w:t>
            </w:r>
            <w:r>
              <w:rPr>
                <w:spacing w:val="8"/>
              </w:rPr>
              <w:t>以300万元罚款。</w:t>
            </w:r>
          </w:p>
        </w:tc>
      </w:tr>
      <w:tr>
        <w:trPr>
          <w:trHeight w:val="1085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9" w:lineRule="auto"/>
              <w:rPr/>
            </w:pPr>
            <w:r>
              <w:rPr>
                <w:spacing w:val="3"/>
              </w:rPr>
              <w:t>688619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1"/>
              <w:spacing w:before="86" w:line="190" w:lineRule="auto"/>
              <w:rPr/>
            </w:pPr>
            <w:r>
              <w:rPr>
                <w:spacing w:val="8"/>
              </w:rPr>
              <w:t>罗普特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0" w:right="104" w:firstLine="3"/>
              <w:spacing w:before="79" w:line="232" w:lineRule="auto"/>
              <w:jc w:val="both"/>
              <w:rPr/>
            </w:pPr>
            <w:r>
              <w:rPr>
                <w:spacing w:val="12"/>
              </w:rPr>
              <w:t>上会所出具的罗普特2021年、</w:t>
            </w:r>
            <w:r>
              <w:rPr>
                <w:spacing w:val="-37"/>
              </w:rPr>
              <w:t xml:space="preserve"> </w:t>
            </w:r>
            <w:r>
              <w:rPr>
                <w:spacing w:val="12"/>
              </w:rPr>
              <w:t>2022年年度审计报告</w:t>
            </w:r>
            <w:r>
              <w:rPr>
                <w:b/>
                <w:bCs/>
                <w:spacing w:val="12"/>
              </w:rPr>
              <w:t>存在虚假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3"/>
              </w:rPr>
              <w:t>记载</w:t>
            </w:r>
            <w:r>
              <w:rPr>
                <w:spacing w:val="13"/>
              </w:rPr>
              <w:t>； 上会所在罗普特2021年年度财务报表审计过程中</w:t>
            </w:r>
            <w:r>
              <w:rPr>
                <w:b/>
                <w:bCs/>
                <w:spacing w:val="13"/>
              </w:rPr>
              <w:t>未勤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  <w:spacing w:val="6"/>
              </w:rPr>
              <w:t>勉尽责。</w:t>
            </w:r>
          </w:p>
        </w:tc>
      </w:tr>
      <w:tr>
        <w:trPr>
          <w:trHeight w:val="1801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22"/>
              <w:spacing w:before="40" w:line="237" w:lineRule="auto"/>
              <w:rPr/>
            </w:pPr>
            <w:r>
              <w:rPr>
                <w:b/>
                <w:bCs/>
                <w:spacing w:val="7"/>
              </w:rPr>
              <w:t>【行政处罚决定】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spacing w:val="7"/>
              </w:rPr>
              <w:t>中国证券监督管理委员会厦门监管局决定：</w:t>
            </w:r>
          </w:p>
          <w:p>
            <w:pPr>
              <w:pStyle w:val="TableText"/>
              <w:ind w:left="106" w:right="150" w:firstLine="17"/>
              <w:spacing w:before="25" w:line="234" w:lineRule="auto"/>
              <w:rPr/>
            </w:pPr>
            <w:r>
              <w:rPr>
                <w:spacing w:val="7"/>
              </w:rPr>
              <w:t>1、对上会会计师事务所 （特殊普通合伙） 责令改正，</w:t>
            </w:r>
            <w:r>
              <w:rPr>
                <w:spacing w:val="6"/>
              </w:rPr>
              <w:t xml:space="preserve"> 没收业务收入共计1,509,433.96元，</w:t>
            </w:r>
            <w:r>
              <w:rPr/>
              <w:t xml:space="preserve"> </w:t>
            </w:r>
            <w:r>
              <w:rPr>
                <w:spacing w:val="5"/>
              </w:rPr>
              <w:t>并处以3,018,867.92元罚款；</w:t>
            </w:r>
          </w:p>
          <w:p>
            <w:pPr>
              <w:pStyle w:val="TableText"/>
              <w:ind w:left="114"/>
              <w:spacing w:before="89" w:line="189" w:lineRule="auto"/>
              <w:rPr/>
            </w:pPr>
            <w:r>
              <w:rPr>
                <w:spacing w:val="7"/>
              </w:rPr>
              <w:t>2、对注册会计师李某、张某荣给予警告， </w:t>
            </w:r>
            <w:r>
              <w:rPr>
                <w:spacing w:val="6"/>
              </w:rPr>
              <w:t>并分别处以60万元罚款；</w:t>
            </w:r>
          </w:p>
          <w:p>
            <w:pPr>
              <w:pStyle w:val="TableText"/>
              <w:ind w:left="117"/>
              <w:spacing w:before="89" w:line="187" w:lineRule="auto"/>
              <w:rPr/>
            </w:pPr>
            <w:r>
              <w:rPr>
                <w:spacing w:val="6"/>
              </w:rPr>
              <w:t>3、对注册会计师石某琴给予警告， 并处以50万</w:t>
            </w:r>
            <w:r>
              <w:rPr>
                <w:spacing w:val="5"/>
              </w:rPr>
              <w:t>元罚款。</w:t>
            </w:r>
          </w:p>
        </w:tc>
      </w:tr>
      <w:tr>
        <w:trPr>
          <w:trHeight w:val="36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6"/>
              <w:spacing w:before="102" w:line="177" w:lineRule="auto"/>
              <w:rPr/>
            </w:pPr>
            <w:r>
              <w:rPr>
                <w:spacing w:val="3"/>
              </w:rPr>
              <w:t>000620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400"/>
              <w:spacing w:before="90" w:line="186" w:lineRule="auto"/>
              <w:rPr/>
            </w:pPr>
            <w:r>
              <w:rPr>
                <w:spacing w:val="8"/>
              </w:rPr>
              <w:t>新华联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14"/>
              <w:spacing w:before="90" w:line="186" w:lineRule="auto"/>
              <w:rPr/>
            </w:pPr>
            <w:r>
              <w:rPr>
                <w:b/>
                <w:bCs/>
                <w:spacing w:val="6"/>
              </w:rPr>
              <w:t>内幕交易</w:t>
            </w:r>
            <w:r>
              <w:rPr>
                <w:spacing w:val="6"/>
              </w:rPr>
              <w:t>公司股票。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9" w:firstLine="16"/>
              <w:spacing w:before="43" w:line="234" w:lineRule="auto"/>
              <w:rPr/>
            </w:pPr>
            <w:r>
              <w:rPr>
                <w:b/>
                <w:bCs/>
                <w:spacing w:val="10"/>
              </w:rPr>
              <w:t>【行政处罚决定】</w:t>
            </w:r>
            <w:r>
              <w:rPr>
                <w:b/>
                <w:bCs/>
                <w:spacing w:val="-22"/>
              </w:rPr>
              <w:t xml:space="preserve"> </w:t>
            </w:r>
            <w:r>
              <w:rPr>
                <w:spacing w:val="10"/>
              </w:rPr>
              <w:t>中国证券监督管理委员会青岛监管局决定： 没收李某违法所得59,</w:t>
            </w:r>
            <w:r>
              <w:rPr>
                <w:spacing w:val="9"/>
              </w:rPr>
              <w:t>232.29</w:t>
            </w:r>
            <w:r>
              <w:rPr/>
              <w:t xml:space="preserve"> </w:t>
            </w:r>
            <w:r>
              <w:rPr>
                <w:spacing w:val="3"/>
              </w:rPr>
              <w:t>元， 并处以60万元的罚款。</w:t>
            </w:r>
          </w:p>
        </w:tc>
      </w:tr>
      <w:tr>
        <w:trPr>
          <w:trHeight w:val="36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6"/>
              <w:spacing w:before="105" w:line="175" w:lineRule="auto"/>
              <w:rPr/>
            </w:pPr>
            <w:r>
              <w:rPr>
                <w:spacing w:val="3"/>
              </w:rPr>
              <w:t>002207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296"/>
              <w:spacing w:before="90" w:line="186" w:lineRule="auto"/>
              <w:rPr/>
            </w:pPr>
            <w:r>
              <w:rPr>
                <w:spacing w:val="8"/>
              </w:rPr>
              <w:t>准油股份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14"/>
              <w:spacing w:before="91" w:line="185" w:lineRule="auto"/>
              <w:rPr/>
            </w:pPr>
            <w:r>
              <w:rPr>
                <w:b/>
                <w:bCs/>
                <w:spacing w:val="6"/>
              </w:rPr>
              <w:t>内幕交易</w:t>
            </w:r>
            <w:r>
              <w:rPr>
                <w:spacing w:val="6"/>
              </w:rPr>
              <w:t>公司股票。</w:t>
            </w:r>
          </w:p>
        </w:tc>
      </w:tr>
      <w:tr>
        <w:trPr>
          <w:trHeight w:val="1082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4" w:right="101" w:firstLine="18"/>
              <w:spacing w:before="46" w:line="239" w:lineRule="auto"/>
              <w:jc w:val="both"/>
              <w:rPr/>
            </w:pPr>
            <w:r>
              <w:rPr>
                <w:b/>
                <w:bCs/>
                <w:spacing w:val="9"/>
              </w:rPr>
              <w:t>【行政处罚决定】</w:t>
            </w:r>
            <w:r>
              <w:rPr>
                <w:b/>
                <w:bCs/>
                <w:spacing w:val="-27"/>
              </w:rPr>
              <w:t xml:space="preserve"> </w:t>
            </w:r>
            <w:r>
              <w:rPr>
                <w:spacing w:val="9"/>
              </w:rPr>
              <w:t>中国证券监督管理委员会新疆</w:t>
            </w:r>
            <w:r>
              <w:rPr>
                <w:spacing w:val="8"/>
              </w:rPr>
              <w:t>监管局决定： 没收余某琪、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陈某潞违法所得</w:t>
            </w:r>
            <w:r>
              <w:rPr/>
              <w:t xml:space="preserve"> </w:t>
            </w:r>
            <w:r>
              <w:rPr>
                <w:spacing w:val="3"/>
              </w:rPr>
              <w:t>52,693.09</w:t>
            </w:r>
            <w:r>
              <w:rPr>
                <w:spacing w:val="-25"/>
              </w:rPr>
              <w:t xml:space="preserve"> </w:t>
            </w:r>
            <w:r>
              <w:rPr>
                <w:spacing w:val="3"/>
              </w:rPr>
              <w:t>元，</w:t>
            </w:r>
            <w:r>
              <w:rPr>
                <w:spacing w:val="30"/>
              </w:rPr>
              <w:t xml:space="preserve"> </w:t>
            </w:r>
            <w:r>
              <w:rPr>
                <w:spacing w:val="3"/>
              </w:rPr>
              <w:t>并</w:t>
            </w:r>
            <w:r>
              <w:rPr>
                <w:spacing w:val="-28"/>
              </w:rPr>
              <w:t xml:space="preserve"> </w:t>
            </w:r>
            <w:r>
              <w:rPr>
                <w:spacing w:val="3"/>
              </w:rPr>
              <w:t>对</w:t>
            </w:r>
            <w:r>
              <w:rPr>
                <w:spacing w:val="-25"/>
              </w:rPr>
              <w:t xml:space="preserve"> </w:t>
            </w:r>
            <w:r>
              <w:rPr>
                <w:spacing w:val="3"/>
              </w:rPr>
              <w:t>余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某</w:t>
            </w:r>
            <w:r>
              <w:rPr>
                <w:spacing w:val="-31"/>
              </w:rPr>
              <w:t xml:space="preserve"> </w:t>
            </w:r>
            <w:r>
              <w:rPr>
                <w:spacing w:val="3"/>
              </w:rPr>
              <w:t>琪</w:t>
            </w:r>
            <w:r>
              <w:rPr>
                <w:spacing w:val="-17"/>
              </w:rPr>
              <w:t xml:space="preserve"> </w:t>
            </w:r>
            <w:r>
              <w:rPr>
                <w:spacing w:val="3"/>
              </w:rPr>
              <w:t>、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陈</w:t>
            </w:r>
            <w:r>
              <w:rPr>
                <w:spacing w:val="-26"/>
              </w:rPr>
              <w:t xml:space="preserve"> </w:t>
            </w:r>
            <w:r>
              <w:rPr>
                <w:spacing w:val="3"/>
              </w:rPr>
              <w:t>某</w:t>
            </w:r>
            <w:r>
              <w:rPr>
                <w:spacing w:val="-28"/>
              </w:rPr>
              <w:t xml:space="preserve"> </w:t>
            </w:r>
            <w:r>
              <w:rPr>
                <w:spacing w:val="3"/>
              </w:rPr>
              <w:t>潞</w:t>
            </w:r>
            <w:r>
              <w:rPr>
                <w:spacing w:val="-25"/>
              </w:rPr>
              <w:t xml:space="preserve"> </w:t>
            </w:r>
            <w:r>
              <w:rPr>
                <w:spacing w:val="3"/>
              </w:rPr>
              <w:t>合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并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处</w:t>
            </w:r>
            <w:r>
              <w:rPr>
                <w:spacing w:val="-20"/>
              </w:rPr>
              <w:t xml:space="preserve"> </w:t>
            </w:r>
            <w:r>
              <w:rPr>
                <w:spacing w:val="3"/>
              </w:rPr>
              <w:t>以</w:t>
            </w:r>
            <w:r>
              <w:rPr>
                <w:spacing w:val="-25"/>
              </w:rPr>
              <w:t xml:space="preserve"> </w:t>
            </w:r>
            <w:r>
              <w:rPr>
                <w:spacing w:val="3"/>
              </w:rPr>
              <w:t>800,000.00</w:t>
            </w:r>
            <w:r>
              <w:rPr>
                <w:spacing w:val="-25"/>
              </w:rPr>
              <w:t xml:space="preserve"> </w:t>
            </w:r>
            <w:r>
              <w:rPr>
                <w:spacing w:val="3"/>
              </w:rPr>
              <w:t>元</w:t>
            </w:r>
            <w:r>
              <w:rPr>
                <w:spacing w:val="-25"/>
              </w:rPr>
              <w:t xml:space="preserve"> </w:t>
            </w:r>
            <w:r>
              <w:rPr>
                <w:spacing w:val="3"/>
              </w:rPr>
              <w:t>罚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款，</w:t>
            </w:r>
            <w:r>
              <w:rPr>
                <w:spacing w:val="31"/>
              </w:rPr>
              <w:t xml:space="preserve"> </w:t>
            </w:r>
            <w:r>
              <w:rPr>
                <w:spacing w:val="2"/>
              </w:rPr>
              <w:t>其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中</w:t>
            </w:r>
            <w:r>
              <w:rPr>
                <w:spacing w:val="-30"/>
              </w:rPr>
              <w:t xml:space="preserve"> </w:t>
            </w:r>
            <w:r>
              <w:rPr>
                <w:spacing w:val="2"/>
              </w:rPr>
              <w:t>对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余</w:t>
            </w:r>
            <w:r>
              <w:rPr>
                <w:spacing w:val="-27"/>
              </w:rPr>
              <w:t xml:space="preserve"> </w:t>
            </w:r>
            <w:r>
              <w:rPr>
                <w:spacing w:val="2"/>
              </w:rPr>
              <w:t>某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琪</w:t>
            </w:r>
            <w:r>
              <w:rPr>
                <w:spacing w:val="-29"/>
              </w:rPr>
              <w:t xml:space="preserve"> </w:t>
            </w:r>
            <w:r>
              <w:rPr>
                <w:spacing w:val="2"/>
              </w:rPr>
              <w:t>处</w:t>
            </w:r>
            <w:r>
              <w:rPr>
                <w:spacing w:val="-20"/>
              </w:rPr>
              <w:t xml:space="preserve"> </w:t>
            </w:r>
            <w:r>
              <w:rPr>
                <w:spacing w:val="2"/>
              </w:rPr>
              <w:t>以</w:t>
            </w:r>
            <w:r>
              <w:rPr/>
              <w:t xml:space="preserve"> </w:t>
            </w:r>
            <w:r>
              <w:rPr>
                <w:spacing w:val="5"/>
              </w:rPr>
              <w:t>400,000.00元罚款， 对陈某潞处以400,000.0</w:t>
            </w:r>
            <w:r>
              <w:rPr>
                <w:spacing w:val="4"/>
              </w:rPr>
              <w:t>0元罚款。</w:t>
            </w:r>
          </w:p>
        </w:tc>
      </w:tr>
      <w:tr>
        <w:trPr>
          <w:trHeight w:val="36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6"/>
              <w:spacing w:before="107" w:line="174" w:lineRule="auto"/>
              <w:rPr/>
            </w:pPr>
            <w:r>
              <w:rPr>
                <w:spacing w:val="3"/>
              </w:rPr>
              <w:t>002316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393"/>
              <w:spacing w:before="95" w:line="182" w:lineRule="auto"/>
              <w:rPr/>
            </w:pPr>
            <w:r>
              <w:rPr/>
              <w:t>ST</w:t>
            </w:r>
            <w:r>
              <w:rPr>
                <w:spacing w:val="8"/>
              </w:rPr>
              <w:t>亚联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1"/>
              <w:spacing w:before="92" w:line="184" w:lineRule="auto"/>
              <w:rPr/>
            </w:pPr>
            <w:r>
              <w:rPr>
                <w:spacing w:val="8"/>
              </w:rPr>
              <w:t>亚联发展2021年年度报告存在</w:t>
            </w:r>
            <w:r>
              <w:rPr>
                <w:b/>
                <w:bCs/>
                <w:spacing w:val="8"/>
              </w:rPr>
              <w:t>虚假记载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1454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22"/>
              <w:spacing w:before="48" w:line="237" w:lineRule="auto"/>
              <w:rPr/>
            </w:pPr>
            <w:r>
              <w:rPr>
                <w:b/>
                <w:bCs/>
                <w:spacing w:val="7"/>
              </w:rPr>
              <w:t>【行政处罚决定】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spacing w:val="7"/>
              </w:rPr>
              <w:t>中国证券监督管理委员会吉林监管局决定：</w:t>
            </w:r>
          </w:p>
          <w:p>
            <w:pPr>
              <w:pStyle w:val="TableText"/>
              <w:ind w:left="138"/>
              <w:spacing w:before="25" w:line="229" w:lineRule="auto"/>
              <w:rPr/>
            </w:pPr>
            <w:r>
              <w:rPr>
                <w:spacing w:val="5"/>
              </w:rPr>
              <w:t>（一） 对吉林亚联发展科技股份有限公司给</w:t>
            </w:r>
            <w:r>
              <w:rPr>
                <w:spacing w:val="4"/>
              </w:rPr>
              <w:t>予警告， 并处以200万元的罚款；</w:t>
            </w:r>
          </w:p>
          <w:p>
            <w:pPr>
              <w:pStyle w:val="TableText"/>
              <w:ind w:left="138"/>
              <w:spacing w:before="32" w:line="229" w:lineRule="auto"/>
              <w:rPr/>
            </w:pPr>
            <w:r>
              <w:rPr>
                <w:spacing w:val="3"/>
              </w:rPr>
              <w:t>（二） 对董事长王某彬给予警告， 并处以60万元的罚款；</w:t>
            </w:r>
          </w:p>
          <w:p>
            <w:pPr>
              <w:pStyle w:val="TableText"/>
              <w:ind w:left="138"/>
              <w:spacing w:before="32" w:line="218" w:lineRule="auto"/>
              <w:rPr/>
            </w:pPr>
            <w:r>
              <w:rPr>
                <w:spacing w:val="3"/>
              </w:rPr>
              <w:t>（三） 对财务总监陈某军给予警告， 并处以50万元的罚款。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906" w:h="16838"/>
          <w:pgMar w:top="7" w:right="56" w:bottom="0" w:left="0" w:header="0" w:footer="0" w:gutter="0"/>
          <w:cols w:equalWidth="0" w:num="1">
            <w:col w:w="11849" w:space="0"/>
          </w:cols>
        </w:sectPr>
        <w:rPr>
          <w:sz w:val="2"/>
          <w:szCs w:val="2"/>
        </w:rPr>
      </w:pPr>
    </w:p>
    <w:p>
      <w:pPr>
        <w:spacing w:before="46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7"/>
        </w:rPr>
        <w:t>（2） 行政处罚决定事先告知书</w:t>
      </w:r>
    </w:p>
    <w:p>
      <w:pPr>
        <w:spacing w:line="175" w:lineRule="exact"/>
        <w:rPr/>
      </w:pPr>
      <w:r/>
    </w:p>
    <w:tbl>
      <w:tblPr>
        <w:tblStyle w:val="TableNormal"/>
        <w:tblW w:w="8706" w:type="dxa"/>
        <w:tblInd w:w="75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313"/>
        <w:gridCol w:w="1449"/>
        <w:gridCol w:w="5944"/>
      </w:tblGrid>
      <w:tr>
        <w:trPr>
          <w:trHeight w:val="385" w:hRule="atLeast"/>
        </w:trPr>
        <w:tc>
          <w:tcPr>
            <w:shd w:val="clear" w:fill="4F81BD"/>
            <w:tcW w:w="131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29"/>
              <w:spacing w:before="107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449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96"/>
              <w:spacing w:before="107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94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544"/>
              <w:spacing w:before="107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366" w:hRule="atLeast"/>
        </w:trPr>
        <w:tc>
          <w:tcPr>
            <w:shd w:val="clear" w:fill="B8CCE4"/>
            <w:tcW w:w="131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86"/>
              <w:spacing w:before="101" w:line="178" w:lineRule="auto"/>
              <w:rPr/>
            </w:pPr>
            <w:r>
              <w:rPr>
                <w:spacing w:val="3"/>
              </w:rPr>
              <w:t>002098</w:t>
            </w:r>
          </w:p>
        </w:tc>
        <w:tc>
          <w:tcPr>
            <w:shd w:val="clear" w:fill="B8CCE4"/>
            <w:tcW w:w="1449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94"/>
              <w:spacing w:before="88" w:line="187" w:lineRule="auto"/>
              <w:rPr/>
            </w:pPr>
            <w:r>
              <w:rPr>
                <w:spacing w:val="8"/>
              </w:rPr>
              <w:t>浔兴股份</w:t>
            </w:r>
          </w:p>
        </w:tc>
        <w:tc>
          <w:tcPr>
            <w:shd w:val="clear" w:fill="B8CCE4"/>
            <w:tcW w:w="594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2"/>
              <w:spacing w:before="87" w:line="188" w:lineRule="auto"/>
              <w:rPr/>
            </w:pPr>
            <w:r>
              <w:rPr>
                <w:spacing w:val="9"/>
              </w:rPr>
              <w:t>董事,实际控制人及其他关系方</w:t>
            </w:r>
            <w:r>
              <w:rPr>
                <w:b/>
                <w:bCs/>
                <w:spacing w:val="9"/>
              </w:rPr>
              <w:t>操纵“浔兴股份</w:t>
            </w:r>
            <w:r>
              <w:rPr>
                <w:b/>
                <w:bCs/>
                <w:spacing w:val="8"/>
              </w:rPr>
              <w:t>”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1087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6" w:right="104" w:firstLine="16"/>
              <w:spacing w:before="43" w:line="241" w:lineRule="auto"/>
              <w:jc w:val="both"/>
              <w:rPr/>
            </w:pPr>
            <w:r>
              <w:rPr>
                <w:b/>
                <w:bCs/>
                <w:spacing w:val="7"/>
              </w:rPr>
              <w:t>【行政监处罚决定 （拟） 】</w:t>
            </w:r>
            <w:r>
              <w:rPr>
                <w:b/>
                <w:bCs/>
                <w:spacing w:val="-35"/>
              </w:rPr>
              <w:t xml:space="preserve"> </w:t>
            </w:r>
            <w:r>
              <w:rPr>
                <w:spacing w:val="7"/>
              </w:rPr>
              <w:t>中国证监会拟决定:对⻩某杰、</w:t>
            </w:r>
            <w:r>
              <w:rPr>
                <w:spacing w:val="6"/>
              </w:rPr>
              <w:t>王某、王某军、</w:t>
            </w:r>
            <w:r>
              <w:rPr>
                <w:spacing w:val="-37"/>
              </w:rPr>
              <w:t xml:space="preserve"> </w:t>
            </w:r>
            <w:r>
              <w:rPr>
                <w:spacing w:val="6"/>
              </w:rPr>
              <w:t>闫某合计处以300</w:t>
            </w:r>
            <w:r>
              <w:rPr/>
              <w:t xml:space="preserve"> </w:t>
            </w:r>
            <w:r>
              <w:rPr>
                <w:spacing w:val="6"/>
              </w:rPr>
              <w:t>万元罚款， 其中对⻩某杰处以200万元罚款， 对王某处以50万元罚款， 对王某军处以30万元</w:t>
            </w:r>
            <w:r>
              <w:rPr>
                <w:spacing w:val="4"/>
              </w:rPr>
              <w:t xml:space="preserve"> </w:t>
            </w:r>
            <w:r>
              <w:rPr>
                <w:spacing w:val="4"/>
              </w:rPr>
              <w:t>罚款， 对闫某处以20万元罚款。</w:t>
            </w:r>
          </w:p>
        </w:tc>
      </w:tr>
    </w:tbl>
    <w:p>
      <w:pPr>
        <w:pStyle w:val="BodyText"/>
        <w:spacing w:line="315" w:lineRule="auto"/>
        <w:rPr/>
      </w:pPr>
      <w:r/>
    </w:p>
    <w:p>
      <w:pPr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（3） 行政监管措施</w:t>
      </w:r>
    </w:p>
    <w:p>
      <w:pPr>
        <w:spacing w:line="177" w:lineRule="exact"/>
        <w:rPr/>
      </w:pPr>
      <w:r/>
    </w:p>
    <w:tbl>
      <w:tblPr>
        <w:tblStyle w:val="TableNormal"/>
        <w:tblW w:w="8706" w:type="dxa"/>
        <w:tblInd w:w="75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313"/>
        <w:gridCol w:w="1449"/>
        <w:gridCol w:w="5944"/>
      </w:tblGrid>
      <w:tr>
        <w:trPr>
          <w:trHeight w:val="388" w:hRule="atLeast"/>
        </w:trPr>
        <w:tc>
          <w:tcPr>
            <w:shd w:val="clear" w:fill="4F81BD"/>
            <w:tcW w:w="131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29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449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96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94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544"/>
              <w:spacing w:before="107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88" w:hRule="atLeast"/>
        </w:trPr>
        <w:tc>
          <w:tcPr>
            <w:shd w:val="clear" w:fill="B8CCE4"/>
            <w:tcW w:w="1313" w:type="dxa"/>
            <w:vAlign w:val="top"/>
            <w:tcBorders>
              <w:top w:val="single" w:color="FFFFFF" w:sz="2" w:space="0"/>
            </w:tcBorders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6"/>
              <w:spacing w:before="86" w:line="178" w:lineRule="auto"/>
              <w:rPr/>
            </w:pPr>
            <w:r>
              <w:rPr>
                <w:spacing w:val="3"/>
              </w:rPr>
              <w:t>002360</w:t>
            </w:r>
          </w:p>
        </w:tc>
        <w:tc>
          <w:tcPr>
            <w:shd w:val="clear" w:fill="B8CCE4"/>
            <w:tcW w:w="1449" w:type="dxa"/>
            <w:vAlign w:val="top"/>
            <w:tcBorders>
              <w:top w:val="single" w:color="FFFFFF" w:sz="2" w:space="0"/>
            </w:tcBorders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86" w:line="189" w:lineRule="auto"/>
              <w:rPr/>
            </w:pPr>
            <w:r>
              <w:rPr>
                <w:spacing w:val="5"/>
              </w:rPr>
              <w:t>同德化工</w:t>
            </w:r>
          </w:p>
        </w:tc>
        <w:tc>
          <w:tcPr>
            <w:shd w:val="clear" w:fill="B8CCE4"/>
            <w:tcW w:w="594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0" w:right="104"/>
              <w:spacing w:before="82" w:line="232" w:lineRule="auto"/>
              <w:jc w:val="both"/>
              <w:rPr/>
            </w:pPr>
            <w:r>
              <w:rPr>
                <w:spacing w:val="12"/>
              </w:rPr>
              <w:t>转让子公司框架协议及子公司股权质押、收取保证金未审</w:t>
            </w:r>
            <w:r>
              <w:rPr>
                <w:spacing w:val="11"/>
              </w:rPr>
              <w:t>议披</w:t>
            </w:r>
            <w:r>
              <w:rPr/>
              <w:t xml:space="preserve"> </w:t>
            </w:r>
            <w:r>
              <w:rPr>
                <w:spacing w:val="7"/>
              </w:rPr>
              <w:t>露， 后续解除框架协议未披露进展； 设立合伙企业的框架协议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未审议披露； 部分内幕信息未进行登记。</w:t>
            </w:r>
          </w:p>
        </w:tc>
      </w:tr>
      <w:tr>
        <w:trPr>
          <w:trHeight w:val="1085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4" w:right="101" w:firstLine="18"/>
              <w:spacing w:before="36" w:line="242" w:lineRule="auto"/>
              <w:jc w:val="both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中国证券监督管理委员会山西监管局决定对时任董事长</w:t>
            </w:r>
            <w:r>
              <w:rPr>
                <w:spacing w:val="10"/>
              </w:rPr>
              <w:t>张某、时任董事长</w:t>
            </w:r>
            <w:r>
              <w:rPr/>
              <w:t xml:space="preserve"> </w:t>
            </w:r>
            <w:r>
              <w:rPr>
                <w:spacing w:val="10"/>
              </w:rPr>
              <w:t>邬某文、时任董秘,时任总经理张某升、董事会秘书张某采取监管谈话并出具警示函的监督管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5"/>
              </w:rPr>
              <w:t>理措施， 并记入证券期货市场诚信档案。</w:t>
            </w:r>
          </w:p>
        </w:tc>
      </w:tr>
      <w:tr>
        <w:trPr>
          <w:trHeight w:val="1085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8" w:lineRule="auto"/>
              <w:rPr/>
            </w:pPr>
            <w:r>
              <w:rPr>
                <w:spacing w:val="3"/>
              </w:rPr>
              <w:t>600999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6" w:line="189" w:lineRule="auto"/>
              <w:rPr/>
            </w:pPr>
            <w:r>
              <w:rPr>
                <w:spacing w:val="8"/>
              </w:rPr>
              <w:t>招商证券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0" w:right="104"/>
              <w:spacing w:before="79" w:line="232" w:lineRule="auto"/>
              <w:jc w:val="both"/>
              <w:rPr/>
            </w:pPr>
            <w:r>
              <w:rPr>
                <w:spacing w:val="12"/>
              </w:rPr>
              <w:t>招商证券股份有限公司青岛海尔路证券营业部时任证券经</w:t>
            </w:r>
            <w:r>
              <w:rPr>
                <w:spacing w:val="11"/>
              </w:rPr>
              <w:t>纪人</w:t>
            </w:r>
            <w:r>
              <w:rPr/>
              <w:t xml:space="preserve"> </w:t>
            </w:r>
            <w:r>
              <w:rPr>
                <w:spacing w:val="12"/>
              </w:rPr>
              <w:t>存在向客户发送风险测评重点问题答案、新开户自助回访答案</w:t>
            </w:r>
            <w:r>
              <w:rPr/>
              <w:t xml:space="preserve"> </w:t>
            </w:r>
            <w:r>
              <w:rPr>
                <w:spacing w:val="6"/>
              </w:rPr>
              <w:t>等情形。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4" w:right="101" w:firstLine="18"/>
              <w:spacing w:before="40" w:line="235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中国证券监督管理委员会青岛监管局决定对袁某采取出</w:t>
            </w:r>
            <w:r>
              <w:rPr>
                <w:spacing w:val="10"/>
              </w:rPr>
              <w:t>具警示函的监管措</w:t>
            </w:r>
            <w:r>
              <w:rPr/>
              <w:t xml:space="preserve"> </w:t>
            </w:r>
            <w:r>
              <w:rPr>
                <w:spacing w:val="3"/>
              </w:rPr>
              <w:t>施。</w:t>
            </w:r>
          </w:p>
        </w:tc>
      </w:tr>
      <w:tr>
        <w:trPr>
          <w:trHeight w:val="1085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8" w:lineRule="auto"/>
              <w:rPr/>
            </w:pPr>
            <w:r>
              <w:rPr>
                <w:spacing w:val="3"/>
              </w:rPr>
              <w:t>600030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86" w:line="189" w:lineRule="auto"/>
              <w:rPr/>
            </w:pPr>
            <w:r>
              <w:rPr>
                <w:spacing w:val="5"/>
              </w:rPr>
              <w:t>中信证券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0" w:right="104" w:firstLine="15"/>
              <w:spacing w:before="84" w:line="231" w:lineRule="auto"/>
              <w:jc w:val="both"/>
              <w:rPr/>
            </w:pPr>
            <w:r>
              <w:rPr>
                <w:spacing w:val="9"/>
              </w:rPr>
              <w:t>中信证券股份有限公司浙江分公司部分员工在从业期间，</w:t>
            </w:r>
            <w:r>
              <w:rPr>
                <w:spacing w:val="8"/>
              </w:rPr>
              <w:t xml:space="preserve"> 存在</w:t>
            </w:r>
            <w:r>
              <w:rPr/>
              <w:t xml:space="preserve"> </w:t>
            </w:r>
            <w:r>
              <w:rPr>
                <w:spacing w:val="9"/>
              </w:rPr>
              <w:t>屡次向客户提供开户知识测评或风险测评答案， 提示客户提高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风险承受等级的行为。</w:t>
            </w:r>
          </w:p>
        </w:tc>
      </w:tr>
      <w:tr>
        <w:trPr>
          <w:trHeight w:val="724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41" w:line="235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中国证券监督管理委员会浙江监管局决定对中信证券股</w:t>
            </w:r>
            <w:r>
              <w:rPr>
                <w:spacing w:val="10"/>
              </w:rPr>
              <w:t>份有限公司浙江分</w:t>
            </w:r>
            <w:r>
              <w:rPr/>
              <w:t xml:space="preserve"> </w:t>
            </w:r>
            <w:r>
              <w:rPr>
                <w:spacing w:val="9"/>
              </w:rPr>
              <w:t>公司采取出具警示函的行政监管措施。</w:t>
            </w:r>
          </w:p>
        </w:tc>
      </w:tr>
      <w:tr>
        <w:trPr>
          <w:trHeight w:val="72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6"/>
              <w:spacing w:before="279" w:line="179" w:lineRule="auto"/>
              <w:rPr/>
            </w:pPr>
            <w:r>
              <w:rPr>
                <w:spacing w:val="3"/>
              </w:rPr>
              <w:t>002031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313"/>
              <w:spacing w:before="265" w:line="190" w:lineRule="auto"/>
              <w:rPr/>
            </w:pPr>
            <w:r>
              <w:rPr>
                <w:spacing w:val="4"/>
              </w:rPr>
              <w:t>巨轮智能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9" w:right="113" w:hanging="9"/>
              <w:spacing w:before="84" w:line="221" w:lineRule="auto"/>
              <w:rPr/>
            </w:pPr>
            <w:r>
              <w:rPr>
                <w:spacing w:val="28"/>
              </w:rPr>
              <w:t>信永中和会计师事务所执业的巨轮智能装备股份有限公司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2022年年报审计工作存在问题。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6"/>
              <w:spacing w:before="43" w:line="234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中国证券监督管理委员会广东监管局决定对信永中和、</w:t>
            </w:r>
            <w:r>
              <w:rPr>
                <w:spacing w:val="10"/>
              </w:rPr>
              <w:t>注册会计师采取出</w:t>
            </w:r>
            <w:r>
              <w:rPr/>
              <w:t xml:space="preserve"> </w:t>
            </w:r>
            <w:r>
              <w:rPr>
                <w:spacing w:val="8"/>
              </w:rPr>
              <w:t>具警示函的行政监管措施。</w:t>
            </w:r>
          </w:p>
        </w:tc>
      </w:tr>
      <w:tr>
        <w:trPr>
          <w:trHeight w:val="1085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6"/>
              <w:spacing w:before="85" w:line="178" w:lineRule="auto"/>
              <w:rPr/>
            </w:pPr>
            <w:r>
              <w:rPr>
                <w:spacing w:val="3"/>
              </w:rPr>
              <w:t>002665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3"/>
              <w:spacing w:before="86" w:line="190" w:lineRule="auto"/>
              <w:rPr/>
            </w:pPr>
            <w:r>
              <w:rPr/>
              <w:t>ST</w:t>
            </w:r>
            <w:r>
              <w:rPr>
                <w:spacing w:val="8"/>
              </w:rPr>
              <w:t>航高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2" w:right="104"/>
              <w:spacing w:before="88" w:line="230" w:lineRule="auto"/>
              <w:jc w:val="both"/>
              <w:rPr/>
            </w:pPr>
            <w:r>
              <w:rPr>
                <w:spacing w:val="7"/>
              </w:rPr>
              <w:t>董事因涉嫌信息披露违法违规,被中国证监会予以立案调查， </w:t>
            </w:r>
            <w:r>
              <w:rPr>
                <w:b/>
                <w:bCs/>
                <w:spacing w:val="7"/>
              </w:rPr>
              <w:t>在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13"/>
              </w:rPr>
              <w:t>立案调查期间,持有的首航高科6,777,268股股份,因股票质押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6"/>
              </w:rPr>
              <w:t>回购违约被司法拍卖</w:t>
            </w:r>
            <w:r>
              <w:rPr>
                <w:spacing w:val="6"/>
              </w:rPr>
              <w:t>， 于2023年12月14日完成股份过户。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6" w:firstLine="16"/>
              <w:spacing w:before="46" w:line="233" w:lineRule="auto"/>
              <w:rPr/>
            </w:pPr>
            <w:r>
              <w:rPr>
                <w:b/>
                <w:bCs/>
                <w:spacing w:val="11"/>
              </w:rPr>
              <w:t>【行政监管措施</w:t>
            </w:r>
            <w:r>
              <w:rPr>
                <w:spacing w:val="11"/>
              </w:rPr>
              <w:t>】</w:t>
            </w:r>
            <w:r>
              <w:rPr>
                <w:spacing w:val="-29"/>
              </w:rPr>
              <w:t xml:space="preserve"> </w:t>
            </w:r>
            <w:r>
              <w:rPr>
                <w:spacing w:val="11"/>
              </w:rPr>
              <w:t>中国证券监督管理委员会甘肃监管局决定对董事黄</w:t>
            </w:r>
            <w:r>
              <w:rPr>
                <w:spacing w:val="10"/>
              </w:rPr>
              <w:t>某佳采取出具警示函的</w:t>
            </w:r>
            <w:r>
              <w:rPr/>
              <w:t xml:space="preserve"> </w:t>
            </w:r>
            <w:r>
              <w:rPr>
                <w:spacing w:val="6"/>
              </w:rPr>
              <w:t>行政监管措施， 并记入证券期货市场诚信档案。</w:t>
            </w:r>
          </w:p>
        </w:tc>
      </w:tr>
      <w:tr>
        <w:trPr>
          <w:trHeight w:val="36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9"/>
              <w:spacing w:before="107" w:line="174" w:lineRule="auto"/>
              <w:rPr/>
            </w:pPr>
            <w:r>
              <w:rPr>
                <w:spacing w:val="3"/>
              </w:rPr>
              <w:t>600543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295"/>
              <w:spacing w:before="91" w:line="185" w:lineRule="auto"/>
              <w:rPr/>
            </w:pPr>
            <w:r>
              <w:rPr>
                <w:spacing w:val="8"/>
              </w:rPr>
              <w:t>莫高股份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2"/>
              <w:spacing w:before="92" w:line="184" w:lineRule="auto"/>
              <w:rPr/>
            </w:pPr>
            <w:r>
              <w:rPr>
                <w:spacing w:val="8"/>
              </w:rPr>
              <w:t>监事配偶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6"/>
              <w:spacing w:before="46" w:line="233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中国证券监督管理委员会甘肃监管局决定对监事王某平</w:t>
            </w:r>
            <w:r>
              <w:rPr>
                <w:spacing w:val="10"/>
              </w:rPr>
              <w:t>采取出具警示函的</w:t>
            </w:r>
            <w:r>
              <w:rPr/>
              <w:t xml:space="preserve"> </w:t>
            </w:r>
            <w:r>
              <w:rPr>
                <w:spacing w:val="6"/>
              </w:rPr>
              <w:t>行政监管措施， 并记入证券期货市场诚信档案。</w:t>
            </w:r>
          </w:p>
        </w:tc>
      </w:tr>
      <w:tr>
        <w:trPr>
          <w:trHeight w:val="1812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5" w:line="179" w:lineRule="auto"/>
              <w:rPr/>
            </w:pPr>
            <w:r>
              <w:rPr>
                <w:spacing w:val="3"/>
              </w:rPr>
              <w:t>600711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3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盛屯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1" w:right="99" w:firstLine="1"/>
              <w:spacing w:before="93" w:line="239" w:lineRule="auto"/>
              <w:jc w:val="both"/>
              <w:rPr/>
            </w:pPr>
            <w:r>
              <w:rPr>
                <w:spacing w:val="11"/>
              </w:rPr>
              <w:t>盛屯矿业2021年12月至2023年上半年在与有关客户开展钴湿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法冶炼中间品销售业务中， </w:t>
            </w:r>
            <w:r>
              <w:rPr>
                <w:b/>
                <w:bCs/>
                <w:spacing w:val="9"/>
              </w:rPr>
              <w:t>存在货物交付给相关客户时控制权</w:t>
            </w:r>
            <w:r>
              <w:rPr>
                <w:b/>
                <w:bCs/>
                <w:spacing w:val="11"/>
              </w:rPr>
              <w:t xml:space="preserve"> </w:t>
            </w:r>
            <w:r>
              <w:rPr>
                <w:b/>
                <w:bCs/>
                <w:spacing w:val="13"/>
              </w:rPr>
              <w:t>并未实质转移而确认收入等行为</w:t>
            </w:r>
            <w:r>
              <w:rPr>
                <w:spacing w:val="13"/>
              </w:rPr>
              <w:t>， 导致2021年年报涉嫌多计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9"/>
              </w:rPr>
              <w:t>营业收入359,367,524.96元， 多计利润总额193,721,431.46</w:t>
            </w:r>
            <w:r>
              <w:rPr>
                <w:spacing w:val="18"/>
              </w:rPr>
              <w:t xml:space="preserve"> </w:t>
            </w:r>
            <w:r>
              <w:rPr>
                <w:spacing w:val="5"/>
              </w:rPr>
              <w:t>元， 分别占当期披露金额的0.79%、7.15%； 2022年年报涉嫌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8"/>
          <w:pgMar w:top="400" w:right="1691" w:bottom="0" w:left="749" w:header="0" w:footer="0" w:gutter="0"/>
        </w:sectPr>
        <w:rPr/>
      </w:pPr>
    </w:p>
    <w:tbl>
      <w:tblPr>
        <w:tblStyle w:val="TableNormal"/>
        <w:tblW w:w="8706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313"/>
        <w:gridCol w:w="1449"/>
        <w:gridCol w:w="5944"/>
      </w:tblGrid>
      <w:tr>
        <w:trPr>
          <w:trHeight w:val="2544" w:hRule="atLeast"/>
        </w:trPr>
        <w:tc>
          <w:tcPr>
            <w:shd w:val="clear" w:fill="B8CCE4"/>
            <w:tcW w:w="131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449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94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 w:right="101" w:firstLine="5"/>
              <w:spacing w:before="101" w:line="243" w:lineRule="auto"/>
              <w:rPr/>
            </w:pPr>
            <w:r>
              <w:rPr>
                <w:spacing w:val="4"/>
              </w:rPr>
              <w:t>多</w:t>
            </w:r>
            <w:r>
              <w:rPr>
                <w:spacing w:val="45"/>
              </w:rPr>
              <w:t xml:space="preserve"> </w:t>
            </w:r>
            <w:r>
              <w:rPr>
                <w:spacing w:val="4"/>
              </w:rPr>
              <w:t>计</w:t>
            </w:r>
            <w:r>
              <w:rPr>
                <w:spacing w:val="48"/>
                <w:w w:val="101"/>
              </w:rPr>
              <w:t xml:space="preserve"> </w:t>
            </w:r>
            <w:r>
              <w:rPr>
                <w:spacing w:val="4"/>
              </w:rPr>
              <w:t>营</w:t>
            </w:r>
            <w:r>
              <w:rPr>
                <w:spacing w:val="45"/>
              </w:rPr>
              <w:t xml:space="preserve"> </w:t>
            </w:r>
            <w:r>
              <w:rPr>
                <w:spacing w:val="4"/>
              </w:rPr>
              <w:t>业</w:t>
            </w:r>
            <w:r>
              <w:rPr>
                <w:spacing w:val="49"/>
              </w:rPr>
              <w:t xml:space="preserve"> </w:t>
            </w:r>
            <w:r>
              <w:rPr>
                <w:spacing w:val="4"/>
              </w:rPr>
              <w:t>收</w:t>
            </w:r>
            <w:r>
              <w:rPr>
                <w:spacing w:val="44"/>
                <w:w w:val="101"/>
              </w:rPr>
              <w:t xml:space="preserve"> </w:t>
            </w:r>
            <w:r>
              <w:rPr>
                <w:spacing w:val="4"/>
              </w:rPr>
              <w:t>入</w:t>
            </w:r>
            <w:r>
              <w:rPr>
                <w:spacing w:val="53"/>
                <w:w w:val="101"/>
              </w:rPr>
              <w:t xml:space="preserve"> </w:t>
            </w:r>
            <w:r>
              <w:rPr>
                <w:spacing w:val="4"/>
              </w:rPr>
              <w:t>84,148,951.76</w:t>
            </w:r>
            <w:r>
              <w:rPr>
                <w:spacing w:val="52"/>
              </w:rPr>
              <w:t xml:space="preserve"> </w:t>
            </w:r>
            <w:r>
              <w:rPr>
                <w:spacing w:val="4"/>
              </w:rPr>
              <w:t>元 ，</w:t>
            </w:r>
            <w:r>
              <w:rPr>
                <w:spacing w:val="22"/>
              </w:rPr>
              <w:t xml:space="preserve">  </w:t>
            </w:r>
            <w:r>
              <w:rPr>
                <w:spacing w:val="4"/>
              </w:rPr>
              <w:t>少</w:t>
            </w:r>
            <w:r>
              <w:rPr>
                <w:spacing w:val="45"/>
              </w:rPr>
              <w:t xml:space="preserve"> </w:t>
            </w:r>
            <w:r>
              <w:rPr>
                <w:spacing w:val="4"/>
              </w:rPr>
              <w:t>计</w:t>
            </w:r>
            <w:r>
              <w:rPr>
                <w:spacing w:val="44"/>
              </w:rPr>
              <w:t xml:space="preserve"> </w:t>
            </w:r>
            <w:r>
              <w:rPr>
                <w:spacing w:val="4"/>
              </w:rPr>
              <w:t>利</w:t>
            </w:r>
            <w:r>
              <w:rPr>
                <w:spacing w:val="44"/>
              </w:rPr>
              <w:t xml:space="preserve"> </w:t>
            </w:r>
            <w:r>
              <w:rPr>
                <w:spacing w:val="3"/>
              </w:rPr>
              <w:t>润</w:t>
            </w:r>
            <w:r>
              <w:rPr>
                <w:spacing w:val="47"/>
              </w:rPr>
              <w:t xml:space="preserve"> </w:t>
            </w:r>
            <w:r>
              <w:rPr>
                <w:spacing w:val="3"/>
              </w:rPr>
              <w:t>总</w:t>
            </w:r>
            <w:r>
              <w:rPr>
                <w:spacing w:val="45"/>
                <w:w w:val="101"/>
              </w:rPr>
              <w:t xml:space="preserve"> </w:t>
            </w:r>
            <w:r>
              <w:rPr>
                <w:spacing w:val="3"/>
              </w:rPr>
              <w:t>额</w:t>
            </w:r>
            <w:r>
              <w:rPr/>
              <w:t xml:space="preserve"> </w:t>
            </w:r>
            <w:r>
              <w:rPr>
                <w:spacing w:val="5"/>
              </w:rPr>
              <w:t>139,092,957.04 元，  </w:t>
            </w:r>
            <w:r>
              <w:rPr>
                <w:spacing w:val="4"/>
              </w:rPr>
              <w:t>分 别</w:t>
            </w:r>
            <w:r>
              <w:rPr>
                <w:spacing w:val="34"/>
              </w:rPr>
              <w:t xml:space="preserve"> </w:t>
            </w:r>
            <w:r>
              <w:rPr>
                <w:spacing w:val="4"/>
              </w:rPr>
              <w:t>占 当 期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披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露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金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额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的</w:t>
            </w:r>
            <w:r>
              <w:rPr>
                <w:spacing w:val="12"/>
              </w:rPr>
              <w:t xml:space="preserve"> </w:t>
            </w:r>
            <w:r>
              <w:rPr>
                <w:spacing w:val="4"/>
              </w:rPr>
              <w:t>0.33%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4"/>
              </w:rPr>
              <w:t>、</w:t>
            </w:r>
            <w:r>
              <w:rPr/>
              <w:t xml:space="preserve"> </w:t>
            </w:r>
            <w:r>
              <w:rPr>
                <w:spacing w:val="3"/>
              </w:rPr>
              <w:t>18.20%；</w:t>
            </w:r>
            <w:r>
              <w:rPr>
                <w:spacing w:val="56"/>
              </w:rPr>
              <w:t xml:space="preserve"> </w:t>
            </w:r>
            <w:r>
              <w:rPr>
                <w:spacing w:val="3"/>
              </w:rPr>
              <w:t>2023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年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半</w:t>
            </w:r>
            <w:r>
              <w:rPr>
                <w:spacing w:val="-26"/>
              </w:rPr>
              <w:t xml:space="preserve"> </w:t>
            </w:r>
            <w:r>
              <w:rPr>
                <w:spacing w:val="3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spacing w:val="3"/>
              </w:rPr>
              <w:t>报</w:t>
            </w:r>
            <w:r>
              <w:rPr>
                <w:spacing w:val="-30"/>
              </w:rPr>
              <w:t xml:space="preserve"> </w:t>
            </w:r>
            <w:r>
              <w:rPr>
                <w:spacing w:val="3"/>
              </w:rPr>
              <w:t>涉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嫌</w:t>
            </w:r>
            <w:r>
              <w:rPr>
                <w:spacing w:val="-30"/>
              </w:rPr>
              <w:t xml:space="preserve"> </w:t>
            </w:r>
            <w:r>
              <w:rPr>
                <w:spacing w:val="3"/>
              </w:rPr>
              <w:t>少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计</w:t>
            </w:r>
            <w:r>
              <w:rPr>
                <w:spacing w:val="-28"/>
              </w:rPr>
              <w:t xml:space="preserve"> </w:t>
            </w:r>
            <w:r>
              <w:rPr>
                <w:spacing w:val="3"/>
              </w:rPr>
              <w:t>营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业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收</w:t>
            </w:r>
            <w:r>
              <w:rPr>
                <w:spacing w:val="-30"/>
              </w:rPr>
              <w:t xml:space="preserve"> </w:t>
            </w:r>
            <w:r>
              <w:rPr>
                <w:spacing w:val="3"/>
              </w:rPr>
              <w:t>入</w:t>
            </w:r>
            <w:r>
              <w:rPr>
                <w:spacing w:val="-19"/>
              </w:rPr>
              <w:t xml:space="preserve"> </w:t>
            </w:r>
            <w:r>
              <w:rPr>
                <w:spacing w:val="3"/>
              </w:rPr>
              <w:t>78,188,326.37</w:t>
            </w:r>
            <w:r>
              <w:rPr/>
              <w:t xml:space="preserve"> </w:t>
            </w:r>
            <w:r>
              <w:rPr>
                <w:spacing w:val="8"/>
              </w:rPr>
              <w:t>元， 少计利润总额22,956,876.80元， 分别占当期披露金额的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0.59%、</w:t>
            </w:r>
            <w:r>
              <w:rPr>
                <w:spacing w:val="-29"/>
              </w:rPr>
              <w:t xml:space="preserve"> </w:t>
            </w:r>
            <w:r>
              <w:rPr>
                <w:spacing w:val="7"/>
              </w:rPr>
              <w:t>5.22%。</w:t>
            </w:r>
            <w:r>
              <w:rPr>
                <w:spacing w:val="-36"/>
              </w:rPr>
              <w:t xml:space="preserve"> </w:t>
            </w:r>
            <w:r>
              <w:rPr>
                <w:spacing w:val="7"/>
              </w:rPr>
              <w:t>2024年4月23日， 盛屯矿</w:t>
            </w:r>
            <w:r>
              <w:rPr>
                <w:spacing w:val="6"/>
              </w:rPr>
              <w:t>业发布《关于会计</w:t>
            </w:r>
            <w:r>
              <w:rPr/>
              <w:t xml:space="preserve"> </w:t>
            </w:r>
            <w:r>
              <w:rPr>
                <w:spacing w:val="9"/>
              </w:rPr>
              <w:t>差错更正的公告》， 对涉及上述业务影响的相关定期财务报表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数据进行了更正。</w:t>
            </w:r>
          </w:p>
        </w:tc>
      </w:tr>
      <w:tr>
        <w:trPr>
          <w:trHeight w:val="1445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6"/>
              <w:spacing w:before="39" w:line="244" w:lineRule="auto"/>
              <w:jc w:val="both"/>
              <w:rPr/>
            </w:pPr>
            <w:r>
              <w:rPr>
                <w:b/>
                <w:bCs/>
                <w:spacing w:val="8"/>
              </w:rPr>
              <w:t>【行政监管措施】</w:t>
            </w:r>
            <w:r>
              <w:rPr>
                <w:b/>
                <w:bCs/>
                <w:spacing w:val="-27"/>
              </w:rPr>
              <w:t xml:space="preserve"> </w:t>
            </w:r>
            <w:r>
              <w:rPr>
                <w:spacing w:val="8"/>
              </w:rPr>
              <w:t>中国证券监督管理委员会厦</w:t>
            </w:r>
            <w:r>
              <w:rPr>
                <w:spacing w:val="7"/>
              </w:rPr>
              <w:t>门监管局决定对时任高管， 时任董事， 时任监</w:t>
            </w:r>
            <w:r>
              <w:rPr/>
              <w:t xml:space="preserve"> </w:t>
            </w:r>
            <w:r>
              <w:rPr>
                <w:spacing w:val="17"/>
              </w:rPr>
              <w:t>事刘某华、任某、涂某东、熊某、金某、邹某</w:t>
            </w:r>
            <w:r>
              <w:rPr>
                <w:spacing w:val="16"/>
              </w:rPr>
              <w:t>鹏、卢某乐、吴某聪、唐某、赵某岚、</w:t>
            </w:r>
            <w:r>
              <w:rPr>
                <w:spacing w:val="-36"/>
              </w:rPr>
              <w:t xml:space="preserve"> </w:t>
            </w:r>
            <w:r>
              <w:rPr>
                <w:spacing w:val="16"/>
              </w:rPr>
              <w:t>张某</w:t>
            </w:r>
            <w:r>
              <w:rPr/>
              <w:t xml:space="preserve"> </w:t>
            </w:r>
            <w:r>
              <w:rPr>
                <w:spacing w:val="10"/>
              </w:rPr>
              <w:t>红、黄某敏采取出具警示函的监督管理措施， 并根据《证券期货市场诚信监督管理办法》将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相关情况记入诚信档案。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9" w:lineRule="auto"/>
              <w:rPr/>
            </w:pPr>
            <w:r>
              <w:rPr>
                <w:spacing w:val="3"/>
              </w:rPr>
              <w:t>601377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6"/>
              <w:spacing w:before="85" w:line="188" w:lineRule="auto"/>
              <w:rPr/>
            </w:pPr>
            <w:r>
              <w:rPr>
                <w:spacing w:val="8"/>
              </w:rPr>
              <w:t>兴业证券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1" w:right="104" w:firstLine="1"/>
              <w:spacing w:before="82" w:line="231" w:lineRule="auto"/>
              <w:jc w:val="both"/>
              <w:rPr/>
            </w:pPr>
            <w:r>
              <w:rPr>
                <w:spacing w:val="12"/>
              </w:rPr>
              <w:t>兴业证券股份有限公司无锡分公司员工在从业期间存在</w:t>
            </w:r>
            <w:r>
              <w:rPr>
                <w:spacing w:val="11"/>
              </w:rPr>
              <w:t>私下接</w:t>
            </w:r>
            <w:r>
              <w:rPr/>
              <w:t xml:space="preserve"> </w:t>
            </w:r>
            <w:r>
              <w:rPr>
                <w:spacing w:val="12"/>
              </w:rPr>
              <w:t>受客户委托买卖证券、对赔偿客户证券买卖的损失作出承</w:t>
            </w:r>
            <w:r>
              <w:rPr>
                <w:spacing w:val="11"/>
              </w:rPr>
              <w:t>诺的</w:t>
            </w:r>
            <w:r>
              <w:rPr/>
              <w:t xml:space="preserve"> </w:t>
            </w:r>
            <w:r>
              <w:rPr>
                <w:spacing w:val="4"/>
              </w:rPr>
              <w:t>行为。</w:t>
            </w:r>
          </w:p>
        </w:tc>
      </w:tr>
      <w:tr>
        <w:trPr>
          <w:trHeight w:val="726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6" w:right="101" w:firstLine="15"/>
              <w:spacing w:before="41" w:line="236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中国证券监督管理委员会江苏监管局决定对胡某雷采取</w:t>
            </w:r>
            <w:r>
              <w:rPr>
                <w:spacing w:val="10"/>
              </w:rPr>
              <w:t>出具警示函的行政</w:t>
            </w:r>
            <w:r>
              <w:rPr/>
              <w:t xml:space="preserve"> </w:t>
            </w:r>
            <w:r>
              <w:rPr>
                <w:spacing w:val="8"/>
              </w:rPr>
              <w:t>监管措施,并记入证券期货市场诚信档案。</w:t>
            </w:r>
          </w:p>
        </w:tc>
      </w:tr>
      <w:tr>
        <w:trPr>
          <w:trHeight w:val="1805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9" w:lineRule="auto"/>
              <w:rPr/>
            </w:pPr>
            <w:r>
              <w:rPr>
                <w:spacing w:val="3"/>
              </w:rPr>
              <w:t>601377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6"/>
              <w:spacing w:before="86" w:line="188" w:lineRule="auto"/>
              <w:rPr/>
            </w:pPr>
            <w:r>
              <w:rPr>
                <w:spacing w:val="8"/>
              </w:rPr>
              <w:t>兴业证券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1" w:right="104" w:firstLine="1"/>
              <w:spacing w:before="79"/>
              <w:jc w:val="both"/>
              <w:rPr/>
            </w:pPr>
            <w:r>
              <w:rPr>
                <w:spacing w:val="10"/>
              </w:rPr>
              <w:t>部分员工存在未完整报备手机号码的行为,兴业</w:t>
            </w:r>
            <w:r>
              <w:rPr>
                <w:spacing w:val="9"/>
              </w:rPr>
              <w:t>证券股份有限公</w:t>
            </w:r>
            <w:r>
              <w:rPr/>
              <w:t xml:space="preserve"> </w:t>
            </w:r>
            <w:r>
              <w:rPr>
                <w:spacing w:val="9"/>
              </w:rPr>
              <w:t>司无锡分公司未能及时监测和预警； 对于兴业证券股份有限公</w:t>
            </w:r>
            <w:r>
              <w:rPr>
                <w:spacing w:val="11"/>
              </w:rPr>
              <w:t xml:space="preserve"> </w:t>
            </w:r>
            <w:r>
              <w:rPr>
                <w:spacing w:val="12"/>
              </w:rPr>
              <w:t>司无锡分公司原负责人手机号码出现在客户证券账户委托</w:t>
            </w:r>
            <w:r>
              <w:rPr>
                <w:spacing w:val="11"/>
              </w:rPr>
              <w:t>记录</w:t>
            </w:r>
            <w:r>
              <w:rPr/>
              <w:t xml:space="preserve"> </w:t>
            </w:r>
            <w:r>
              <w:rPr>
                <w:spacing w:val="15"/>
              </w:rPr>
              <w:t>的异常情况未开展进一步核查,电话回访流于形式,未能及时核</w:t>
            </w:r>
            <w:r>
              <w:rPr>
                <w:spacing w:val="6"/>
              </w:rPr>
              <w:t xml:space="preserve"> </w:t>
            </w:r>
            <w:r>
              <w:rPr>
                <w:spacing w:val="9"/>
              </w:rPr>
              <w:t>查发现其私下接受客户委托买卖证券的情况。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40" w:line="235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中国证券监督管理委员会江苏监管局决定对兴业证券股</w:t>
            </w:r>
            <w:r>
              <w:rPr>
                <w:spacing w:val="10"/>
              </w:rPr>
              <w:t>份有限公司无锡分</w:t>
            </w:r>
            <w:r>
              <w:rPr/>
              <w:t xml:space="preserve"> </w:t>
            </w:r>
            <w:r>
              <w:rPr>
                <w:spacing w:val="9"/>
              </w:rPr>
              <w:t>公司采取出具警示函的行政监管措施,并记入证券期货市场诚信档案。</w:t>
            </w:r>
          </w:p>
        </w:tc>
      </w:tr>
      <w:tr>
        <w:trPr>
          <w:trHeight w:val="36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9"/>
              <w:spacing w:before="102" w:line="177" w:lineRule="auto"/>
              <w:rPr/>
            </w:pPr>
            <w:r>
              <w:rPr>
                <w:spacing w:val="3"/>
              </w:rPr>
              <w:t>601686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293"/>
              <w:spacing w:before="90" w:line="186" w:lineRule="auto"/>
              <w:rPr/>
            </w:pPr>
            <w:r>
              <w:rPr>
                <w:spacing w:val="8"/>
              </w:rPr>
              <w:t>友发集团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9"/>
              <w:spacing w:before="90" w:line="186" w:lineRule="auto"/>
              <w:rPr/>
            </w:pPr>
            <w:r>
              <w:rPr>
                <w:spacing w:val="8"/>
              </w:rPr>
              <w:t>时任职工监事配偶</w:t>
            </w:r>
            <w:r>
              <w:rPr>
                <w:b/>
                <w:bCs/>
                <w:spacing w:val="8"/>
              </w:rPr>
              <w:t>短线交易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4" w:right="106" w:firstLine="18"/>
              <w:spacing w:before="43" w:line="234" w:lineRule="auto"/>
              <w:rPr/>
            </w:pPr>
            <w:r>
              <w:rPr>
                <w:b/>
                <w:bCs/>
                <w:spacing w:val="11"/>
              </w:rPr>
              <w:t>【行政监管措施</w:t>
            </w:r>
            <w:r>
              <w:rPr>
                <w:spacing w:val="11"/>
              </w:rPr>
              <w:t>】</w:t>
            </w:r>
            <w:r>
              <w:rPr>
                <w:spacing w:val="-29"/>
              </w:rPr>
              <w:t xml:space="preserve"> </w:t>
            </w:r>
            <w:r>
              <w:rPr>
                <w:spacing w:val="11"/>
              </w:rPr>
              <w:t>中国证券监督管理委员会天津监管局决定对监事陈</w:t>
            </w:r>
            <w:r>
              <w:rPr>
                <w:spacing w:val="10"/>
              </w:rPr>
              <w:t>某采取出具警示函的监</w:t>
            </w:r>
            <w:r>
              <w:rPr/>
              <w:t xml:space="preserve"> </w:t>
            </w:r>
            <w:r>
              <w:rPr>
                <w:spacing w:val="7"/>
              </w:rPr>
              <w:t>督管理措施。</w:t>
            </w:r>
          </w:p>
        </w:tc>
      </w:tr>
      <w:tr>
        <w:trPr>
          <w:trHeight w:val="72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92"/>
              <w:spacing w:before="283" w:line="178" w:lineRule="auto"/>
              <w:rPr/>
            </w:pPr>
            <w:r>
              <w:rPr>
                <w:spacing w:val="2"/>
              </w:rPr>
              <w:t>300422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400"/>
              <w:spacing w:before="270" w:line="188" w:lineRule="auto"/>
              <w:rPr/>
            </w:pPr>
            <w:r>
              <w:rPr>
                <w:spacing w:val="8"/>
              </w:rPr>
              <w:t>博世科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4" w:right="104" w:firstLine="6"/>
              <w:spacing w:before="86" w:line="220" w:lineRule="auto"/>
              <w:rPr/>
            </w:pPr>
            <w:r>
              <w:rPr>
                <w:spacing w:val="10"/>
              </w:rPr>
              <w:t>2023年三季报</w:t>
            </w:r>
            <w:r>
              <w:rPr>
                <w:b/>
                <w:bCs/>
                <w:spacing w:val="10"/>
              </w:rPr>
              <w:t>坏账准备</w:t>
            </w:r>
            <w:r>
              <w:rPr>
                <w:spacing w:val="10"/>
              </w:rPr>
              <w:t>计提不谨慎； 2023年三季报</w:t>
            </w:r>
            <w:r>
              <w:rPr>
                <w:b/>
                <w:bCs/>
                <w:spacing w:val="10"/>
              </w:rPr>
              <w:t>应收账款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  <w:spacing w:val="7"/>
              </w:rPr>
              <w:t>与合同资产</w:t>
            </w:r>
            <w:r>
              <w:rPr>
                <w:spacing w:val="7"/>
              </w:rPr>
              <w:t>分类不准确； 未及时披露</w:t>
            </w:r>
            <w:r>
              <w:rPr>
                <w:b/>
                <w:bCs/>
                <w:spacing w:val="7"/>
              </w:rPr>
              <w:t>募集资金账户</w:t>
            </w:r>
            <w:r>
              <w:rPr>
                <w:b/>
                <w:bCs/>
                <w:spacing w:val="6"/>
              </w:rPr>
              <w:t>冻结</w:t>
            </w:r>
            <w:r>
              <w:rPr>
                <w:spacing w:val="6"/>
              </w:rPr>
              <w:t>事项。</w:t>
            </w:r>
          </w:p>
        </w:tc>
      </w:tr>
      <w:tr>
        <w:trPr>
          <w:trHeight w:val="724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44" w:line="234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中国证券监督管理委员会安徽监管局决定对安徽博世科</w:t>
            </w:r>
            <w:r>
              <w:rPr>
                <w:spacing w:val="10"/>
              </w:rPr>
              <w:t>环保科技股份有限</w:t>
            </w:r>
            <w:r>
              <w:rPr/>
              <w:t xml:space="preserve"> </w:t>
            </w:r>
            <w:r>
              <w:rPr>
                <w:spacing w:val="8"/>
              </w:rPr>
              <w:t>公司采取责令改正并出具警示函的行政监管措施， 并记入证</w:t>
            </w:r>
            <w:r>
              <w:rPr>
                <w:spacing w:val="7"/>
              </w:rPr>
              <w:t>券期货市场诚信档案。</w:t>
            </w:r>
          </w:p>
        </w:tc>
      </w:tr>
      <w:tr>
        <w:trPr>
          <w:trHeight w:val="72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92"/>
              <w:spacing w:before="284" w:line="178" w:lineRule="auto"/>
              <w:rPr/>
            </w:pPr>
            <w:r>
              <w:rPr>
                <w:spacing w:val="2"/>
              </w:rPr>
              <w:t>300422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400"/>
              <w:spacing w:before="271" w:line="188" w:lineRule="auto"/>
              <w:rPr/>
            </w:pPr>
            <w:r>
              <w:rPr>
                <w:spacing w:val="8"/>
              </w:rPr>
              <w:t>博世科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4" w:right="104" w:firstLine="6"/>
              <w:spacing w:before="89" w:line="219" w:lineRule="auto"/>
              <w:rPr/>
            </w:pPr>
            <w:r>
              <w:rPr>
                <w:spacing w:val="10"/>
              </w:rPr>
              <w:t>2023年三季报</w:t>
            </w:r>
            <w:r>
              <w:rPr>
                <w:b/>
                <w:bCs/>
                <w:spacing w:val="10"/>
              </w:rPr>
              <w:t>坏账准备</w:t>
            </w:r>
            <w:r>
              <w:rPr>
                <w:spacing w:val="10"/>
              </w:rPr>
              <w:t>计提不谨慎； 2023年三季报</w:t>
            </w:r>
            <w:r>
              <w:rPr>
                <w:b/>
                <w:bCs/>
                <w:spacing w:val="10"/>
              </w:rPr>
              <w:t>应收账款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  <w:spacing w:val="8"/>
              </w:rPr>
              <w:t>与合同资产</w:t>
            </w:r>
            <w:r>
              <w:rPr>
                <w:spacing w:val="8"/>
              </w:rPr>
              <w:t>分类不准确。</w:t>
            </w:r>
          </w:p>
        </w:tc>
      </w:tr>
      <w:tr>
        <w:trPr>
          <w:trHeight w:val="724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7" w:right="101" w:firstLine="14"/>
              <w:spacing w:before="47" w:line="233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中国证券监督管理委员会安徽监管局决定对时任财务总</w:t>
            </w:r>
            <w:r>
              <w:rPr>
                <w:spacing w:val="10"/>
              </w:rPr>
              <w:t>监王某南采取出具</w:t>
            </w:r>
            <w:r>
              <w:rPr/>
              <w:t xml:space="preserve"> </w:t>
            </w:r>
            <w:r>
              <w:rPr>
                <w:spacing w:val="9"/>
              </w:rPr>
              <w:t>警示函的行政监管措施,并记入证券期货市场诚信</w:t>
            </w:r>
            <w:r>
              <w:rPr>
                <w:spacing w:val="8"/>
              </w:rPr>
              <w:t>档案。</w:t>
            </w:r>
          </w:p>
        </w:tc>
      </w:tr>
      <w:tr>
        <w:trPr>
          <w:trHeight w:val="72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92"/>
              <w:spacing w:before="285" w:line="178" w:lineRule="auto"/>
              <w:rPr/>
            </w:pPr>
            <w:r>
              <w:rPr>
                <w:spacing w:val="2"/>
              </w:rPr>
              <w:t>300883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398"/>
              <w:spacing w:before="270" w:line="189" w:lineRule="auto"/>
              <w:rPr/>
            </w:pPr>
            <w:r>
              <w:rPr>
                <w:spacing w:val="9"/>
              </w:rPr>
              <w:t>龙利得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2" w:right="104" w:hanging="1"/>
              <w:spacing w:before="89" w:line="219" w:lineRule="auto"/>
              <w:rPr/>
            </w:pPr>
            <w:r>
              <w:rPr>
                <w:spacing w:val="13"/>
              </w:rPr>
              <w:t>实际控制人存在</w:t>
            </w:r>
            <w:r>
              <w:rPr>
                <w:b/>
                <w:bCs/>
                <w:spacing w:val="13"/>
              </w:rPr>
              <w:t>为他人代持公司股份</w:t>
            </w:r>
            <w:r>
              <w:rPr>
                <w:spacing w:val="13"/>
              </w:rPr>
              <w:t>行为， 导致公司2020年</w:t>
            </w:r>
            <w:r>
              <w:rPr>
                <w:spacing w:val="16"/>
              </w:rPr>
              <w:t xml:space="preserve"> </w:t>
            </w:r>
            <w:r>
              <w:rPr>
                <w:spacing w:val="9"/>
              </w:rPr>
              <w:t>上市至今的各期定期报告中相关持股信息披露不准确。</w:t>
            </w:r>
          </w:p>
        </w:tc>
      </w:tr>
      <w:tr>
        <w:trPr>
          <w:trHeight w:val="723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6"/>
              <w:spacing w:before="46" w:line="233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中国证券监督管理委员会安徽监管局决定对实际控制人</w:t>
            </w:r>
            <w:r>
              <w:rPr>
                <w:spacing w:val="10"/>
              </w:rPr>
              <w:t>徐某平采取出具警</w:t>
            </w:r>
            <w:r>
              <w:rPr/>
              <w:t xml:space="preserve"> </w:t>
            </w:r>
            <w:r>
              <w:rPr>
                <w:spacing w:val="7"/>
              </w:rPr>
              <w:t>示函的行政监管措施， 并将相关情况记入证券期货市场诚信档案。</w:t>
            </w:r>
          </w:p>
        </w:tc>
      </w:tr>
      <w:tr>
        <w:trPr>
          <w:trHeight w:val="72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6"/>
              <w:spacing w:before="287" w:line="178" w:lineRule="auto"/>
              <w:rPr/>
            </w:pPr>
            <w:r>
              <w:rPr>
                <w:spacing w:val="3"/>
              </w:rPr>
              <w:t>000622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341"/>
              <w:spacing w:before="270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恒立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1" w:right="106"/>
              <w:spacing w:before="55" w:line="231" w:lineRule="auto"/>
              <w:rPr/>
            </w:pPr>
            <w:r>
              <w:rPr>
                <w:spacing w:val="13"/>
              </w:rPr>
              <w:t>恒立实业发展集团股份有限公司在《</w:t>
            </w:r>
            <w:r>
              <w:rPr>
                <w:spacing w:val="-15"/>
              </w:rPr>
              <w:t xml:space="preserve"> </w:t>
            </w:r>
            <w:r>
              <w:rPr>
                <w:spacing w:val="13"/>
              </w:rPr>
              <w:t>2023年度业绩预告</w:t>
            </w:r>
            <w:r>
              <w:rPr>
                <w:spacing w:val="12"/>
              </w:rPr>
              <w:t>》</w:t>
            </w:r>
            <w:r>
              <w:rPr>
                <w:spacing w:val="-15"/>
              </w:rPr>
              <w:t xml:space="preserve"> </w:t>
            </w:r>
            <w:r>
              <w:rPr>
                <w:spacing w:val="12"/>
              </w:rPr>
              <w:t>中</w:t>
            </w:r>
            <w:r>
              <w:rPr/>
              <w:t xml:space="preserve"> </w:t>
            </w:r>
            <w:r>
              <w:rPr>
                <w:spacing w:val="9"/>
              </w:rPr>
              <w:t>披露的预计营业收入与2023年经审计的营业收入</w:t>
            </w:r>
            <w:r>
              <w:rPr>
                <w:b/>
                <w:bCs/>
                <w:spacing w:val="8"/>
              </w:rPr>
              <w:t>差异较大。</w:t>
            </w:r>
          </w:p>
        </w:tc>
      </w:tr>
      <w:tr>
        <w:trPr>
          <w:trHeight w:val="1090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6"/>
              <w:spacing w:before="50"/>
              <w:jc w:val="both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中国证券监督管理委员会湖南监管局决定对恒立实业发</w:t>
            </w:r>
            <w:r>
              <w:rPr>
                <w:spacing w:val="10"/>
              </w:rPr>
              <w:t>展集团股份有限公</w:t>
            </w:r>
            <w:r>
              <w:rPr/>
              <w:t xml:space="preserve"> </w:t>
            </w:r>
            <w:r>
              <w:rPr>
                <w:spacing w:val="10"/>
              </w:rPr>
              <w:t>司及董事长马某进、总经理吕某帮、财务总监张某采取出具警示函的行政监管措施， 并记入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证券期货市场诚信档案。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8"/>
          <w:pgMar w:top="400" w:right="1691" w:bottom="0" w:left="1492" w:header="0" w:footer="0" w:gutter="0"/>
        </w:sectPr>
        <w:rPr/>
      </w:pPr>
    </w:p>
    <w:tbl>
      <w:tblPr>
        <w:tblStyle w:val="TableNormal"/>
        <w:tblW w:w="8706" w:type="dxa"/>
        <w:tblInd w:w="75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313"/>
        <w:gridCol w:w="1449"/>
        <w:gridCol w:w="5944"/>
      </w:tblGrid>
      <w:tr>
        <w:trPr>
          <w:trHeight w:val="1466" w:hRule="atLeast"/>
        </w:trPr>
        <w:tc>
          <w:tcPr>
            <w:shd w:val="clear" w:fill="B8CCE4"/>
            <w:tcW w:w="1313" w:type="dxa"/>
            <w:vAlign w:val="top"/>
            <w:tcBorders>
              <w:top w:val="single" w:color="FFFFFF" w:sz="2" w:space="0"/>
            </w:tcBorders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8" w:lineRule="auto"/>
              <w:rPr/>
            </w:pPr>
            <w:r>
              <w:rPr>
                <w:spacing w:val="3"/>
              </w:rPr>
              <w:t>600999</w:t>
            </w:r>
          </w:p>
        </w:tc>
        <w:tc>
          <w:tcPr>
            <w:shd w:val="clear" w:fill="B8CCE4"/>
            <w:tcW w:w="1449" w:type="dxa"/>
            <w:vAlign w:val="top"/>
            <w:tcBorders>
              <w:top w:val="single" w:color="FFFFFF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6" w:line="189" w:lineRule="auto"/>
              <w:rPr/>
            </w:pPr>
            <w:r>
              <w:rPr>
                <w:spacing w:val="8"/>
              </w:rPr>
              <w:t>招商证券</w:t>
            </w:r>
          </w:p>
        </w:tc>
        <w:tc>
          <w:tcPr>
            <w:shd w:val="clear" w:fill="B8CCE4"/>
            <w:tcW w:w="594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0" w:right="104"/>
              <w:spacing w:before="100" w:line="237" w:lineRule="auto"/>
              <w:jc w:val="both"/>
              <w:rPr/>
            </w:pPr>
            <w:r>
              <w:rPr>
                <w:spacing w:val="9"/>
              </w:rPr>
              <w:t>招商证券股份有限公司在从事投资银行类业务过程中， 部分投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行项目持续督导工作存在督导上市公司规范运作力度不足， 对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于其他证券服务机构专业意见的审慎运用及独立核查不够， 底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稿不完善等问题。</w:t>
            </w:r>
          </w:p>
        </w:tc>
      </w:tr>
      <w:tr>
        <w:trPr>
          <w:trHeight w:val="724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6" w:firstLine="16"/>
              <w:spacing w:before="36" w:line="237" w:lineRule="auto"/>
              <w:rPr/>
            </w:pPr>
            <w:r>
              <w:rPr>
                <w:b/>
                <w:bCs/>
                <w:spacing w:val="11"/>
              </w:rPr>
              <w:t>【行政监管措施</w:t>
            </w:r>
            <w:r>
              <w:rPr>
                <w:spacing w:val="11"/>
              </w:rPr>
              <w:t>】</w:t>
            </w:r>
            <w:r>
              <w:rPr>
                <w:spacing w:val="-29"/>
              </w:rPr>
              <w:t xml:space="preserve"> </w:t>
            </w:r>
            <w:r>
              <w:rPr>
                <w:spacing w:val="11"/>
              </w:rPr>
              <w:t>中国证券监督管理委员会深圳监管局决定对招商证</w:t>
            </w:r>
            <w:r>
              <w:rPr>
                <w:spacing w:val="10"/>
              </w:rPr>
              <w:t>券股份有限公司采取出</w:t>
            </w:r>
            <w:r>
              <w:rPr/>
              <w:t xml:space="preserve"> </w:t>
            </w:r>
            <w:r>
              <w:rPr>
                <w:spacing w:val="8"/>
              </w:rPr>
              <w:t>具警示函的监管措施。</w:t>
            </w:r>
          </w:p>
        </w:tc>
      </w:tr>
      <w:tr>
        <w:trPr>
          <w:trHeight w:val="1446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2"/>
              <w:spacing w:before="86" w:line="178" w:lineRule="auto"/>
              <w:rPr/>
            </w:pPr>
            <w:r>
              <w:rPr>
                <w:spacing w:val="2"/>
              </w:rPr>
              <w:t>300689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6" w:line="188" w:lineRule="auto"/>
              <w:rPr/>
            </w:pPr>
            <w:r>
              <w:rPr>
                <w:spacing w:val="8"/>
              </w:rPr>
              <w:t>澄天伟业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0" w:right="104"/>
              <w:spacing w:before="80" w:line="237" w:lineRule="auto"/>
              <w:jc w:val="both"/>
              <w:rPr/>
            </w:pPr>
            <w:r>
              <w:rPr>
                <w:spacing w:val="13"/>
              </w:rPr>
              <w:t>在2023年度业绩预告编制过程中， 递延收益确认不准确、存</w:t>
            </w:r>
            <w:r>
              <w:rPr>
                <w:spacing w:val="8"/>
              </w:rPr>
              <w:t xml:space="preserve"> </w:t>
            </w:r>
            <w:r>
              <w:rPr>
                <w:spacing w:val="11"/>
              </w:rPr>
              <w:t>货跌价准备计提不充分、营业收入确认时点不准确。</w:t>
            </w:r>
            <w:r>
              <w:rPr>
                <w:spacing w:val="-34"/>
              </w:rPr>
              <w:t xml:space="preserve"> </w:t>
            </w:r>
            <w:r>
              <w:rPr>
                <w:spacing w:val="11"/>
              </w:rPr>
              <w:t>前述情况</w:t>
            </w:r>
            <w:r>
              <w:rPr/>
              <w:t xml:space="preserve"> </w:t>
            </w:r>
            <w:r>
              <w:rPr>
                <w:spacing w:val="15"/>
              </w:rPr>
              <w:t>导致深圳市澄天伟业科技股份有限公司</w:t>
            </w:r>
            <w:r>
              <w:rPr>
                <w:b/>
                <w:bCs/>
                <w:spacing w:val="15"/>
              </w:rPr>
              <w:t>2023年度业绩预告披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  <w:spacing w:val="8"/>
              </w:rPr>
              <w:t>露的财务数据不准确。</w:t>
            </w:r>
          </w:p>
        </w:tc>
      </w:tr>
      <w:tr>
        <w:trPr>
          <w:trHeight w:val="726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35" w:line="238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中国证券监督管理委员会深圳监管局决定对深圳市澄天</w:t>
            </w:r>
            <w:r>
              <w:rPr>
                <w:spacing w:val="10"/>
              </w:rPr>
              <w:t>伟业科技股份有限</w:t>
            </w:r>
            <w:r>
              <w:rPr/>
              <w:t xml:space="preserve"> </w:t>
            </w:r>
            <w:r>
              <w:rPr>
                <w:spacing w:val="9"/>
              </w:rPr>
              <w:t>公司、董事长,总经理冯某裕、高管蒋某红采取出具警示函的监管措施。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9"/>
              <w:spacing w:before="272" w:line="178" w:lineRule="auto"/>
              <w:rPr/>
            </w:pPr>
            <w:r>
              <w:rPr>
                <w:spacing w:val="3"/>
              </w:rPr>
              <w:t>603559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341"/>
              <w:spacing w:before="258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通脉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1" w:right="104" w:hanging="1"/>
              <w:spacing w:before="79" w:line="222" w:lineRule="auto"/>
              <w:rPr/>
            </w:pPr>
            <w:r>
              <w:rPr>
                <w:spacing w:val="9"/>
              </w:rPr>
              <w:t>公司存在虚增应收账款、存货、营业收入、净利润的情形， 导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致公司</w:t>
            </w:r>
            <w:r>
              <w:rPr>
                <w:b/>
                <w:bCs/>
                <w:spacing w:val="9"/>
              </w:rPr>
              <w:t>相关年度年报信息披露不准确</w:t>
            </w:r>
            <w:r>
              <w:rPr>
                <w:spacing w:val="9"/>
              </w:rPr>
              <w:t>。</w:t>
            </w:r>
          </w:p>
        </w:tc>
      </w:tr>
      <w:tr>
        <w:trPr>
          <w:trHeight w:val="1086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6" w:right="101" w:firstLine="16"/>
              <w:spacing w:before="37" w:line="242" w:lineRule="auto"/>
              <w:jc w:val="both"/>
              <w:rPr/>
            </w:pPr>
            <w:r>
              <w:rPr>
                <w:b/>
                <w:bCs/>
                <w:spacing w:val="17"/>
              </w:rPr>
              <w:t>【行政监管措施】</w:t>
            </w:r>
            <w:r>
              <w:rPr>
                <w:b/>
                <w:bCs/>
                <w:spacing w:val="-13"/>
              </w:rPr>
              <w:t xml:space="preserve"> </w:t>
            </w:r>
            <w:r>
              <w:rPr>
                <w:spacing w:val="17"/>
              </w:rPr>
              <w:t>中国证券监督管理委员会吉林监管局决定对*</w:t>
            </w:r>
            <w:r>
              <w:rPr/>
              <w:t>ST</w:t>
            </w:r>
            <w:r>
              <w:rPr>
                <w:spacing w:val="17"/>
              </w:rPr>
              <w:t>通脉</w:t>
            </w:r>
            <w:r>
              <w:rPr>
                <w:spacing w:val="-34"/>
              </w:rPr>
              <w:t xml:space="preserve"> </w:t>
            </w:r>
            <w:r>
              <w:rPr>
                <w:spacing w:val="17"/>
              </w:rPr>
              <w:t>、</w:t>
            </w:r>
            <w:r>
              <w:rPr>
                <w:spacing w:val="-32"/>
              </w:rPr>
              <w:t xml:space="preserve"> </w:t>
            </w:r>
            <w:r>
              <w:rPr>
                <w:spacing w:val="17"/>
              </w:rPr>
              <w:t>时任董事</w:t>
            </w:r>
            <w:r>
              <w:rPr>
                <w:spacing w:val="16"/>
              </w:rPr>
              <w:t>长王某</w:t>
            </w:r>
            <w:r>
              <w:rPr/>
              <w:t xml:space="preserve"> </w:t>
            </w:r>
            <w:r>
              <w:rPr>
                <w:spacing w:val="12"/>
              </w:rPr>
              <w:t>超、</w:t>
            </w:r>
            <w:r>
              <w:rPr>
                <w:spacing w:val="-37"/>
              </w:rPr>
              <w:t xml:space="preserve"> </w:t>
            </w:r>
            <w:r>
              <w:rPr>
                <w:spacing w:val="12"/>
              </w:rPr>
              <w:t>时任财务总监张某坤、时任财务总监田</w:t>
            </w:r>
            <w:r>
              <w:rPr>
                <w:spacing w:val="11"/>
              </w:rPr>
              <w:t>某华、时任董秘孟某、时任董秘赵某平采取出具</w:t>
            </w:r>
            <w:r>
              <w:rPr/>
              <w:t xml:space="preserve"> </w:t>
            </w:r>
            <w:r>
              <w:rPr>
                <w:spacing w:val="7"/>
              </w:rPr>
              <w:t>警示函措施。</w:t>
            </w:r>
          </w:p>
        </w:tc>
      </w:tr>
      <w:tr>
        <w:trPr>
          <w:trHeight w:val="1084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6"/>
              <w:spacing w:before="86" w:line="178" w:lineRule="auto"/>
              <w:rPr/>
            </w:pPr>
            <w:r>
              <w:rPr>
                <w:spacing w:val="3"/>
              </w:rPr>
              <w:t>002360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86" w:line="189" w:lineRule="auto"/>
              <w:rPr/>
            </w:pPr>
            <w:r>
              <w:rPr>
                <w:spacing w:val="5"/>
              </w:rPr>
              <w:t>同德化工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0" w:right="104"/>
              <w:spacing w:before="78" w:line="232" w:lineRule="auto"/>
              <w:jc w:val="both"/>
              <w:rPr/>
            </w:pPr>
            <w:r>
              <w:rPr>
                <w:spacing w:val="12"/>
              </w:rPr>
              <w:t>转让子公司框架协议及子公司股权质押、收取保证金未审</w:t>
            </w:r>
            <w:r>
              <w:rPr>
                <w:spacing w:val="11"/>
              </w:rPr>
              <w:t>议披</w:t>
            </w:r>
            <w:r>
              <w:rPr/>
              <w:t xml:space="preserve"> </w:t>
            </w:r>
            <w:r>
              <w:rPr>
                <w:spacing w:val="7"/>
              </w:rPr>
              <w:t>露， 后续解除框架协议未披露进展； 设立合伙企业的框架协议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未审议披露； 部分内幕信息未进行登记。</w:t>
            </w:r>
          </w:p>
        </w:tc>
      </w:tr>
      <w:tr>
        <w:trPr>
          <w:trHeight w:val="726" w:hRule="atLeast"/>
        </w:trPr>
        <w:tc>
          <w:tcPr>
            <w:tcW w:w="8706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41" w:line="236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中国证券监督管理委员会山西监管局决定对山西同德化</w:t>
            </w:r>
            <w:r>
              <w:rPr>
                <w:spacing w:val="10"/>
              </w:rPr>
              <w:t>工股份有限公司采</w:t>
            </w:r>
            <w:r>
              <w:rPr/>
              <w:t xml:space="preserve"> </w:t>
            </w:r>
            <w:r>
              <w:rPr>
                <w:spacing w:val="7"/>
              </w:rPr>
              <w:t>取责令改正并出具警示函的监督管理措施， 并记入证券期货市场诚信档案。</w:t>
            </w:r>
          </w:p>
        </w:tc>
      </w:tr>
      <w:tr>
        <w:trPr>
          <w:trHeight w:val="1084" w:hRule="atLeast"/>
        </w:trPr>
        <w:tc>
          <w:tcPr>
            <w:shd w:val="clear" w:fill="B8CCE4"/>
            <w:tcW w:w="1313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8" w:lineRule="auto"/>
              <w:rPr/>
            </w:pPr>
            <w:r>
              <w:rPr>
                <w:spacing w:val="3"/>
              </w:rPr>
              <w:t>600030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86" w:line="189" w:lineRule="auto"/>
              <w:rPr/>
            </w:pPr>
            <w:r>
              <w:rPr>
                <w:spacing w:val="5"/>
              </w:rPr>
              <w:t>中信证券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00" w:right="104" w:firstLine="14"/>
              <w:spacing w:before="83" w:line="231" w:lineRule="auto"/>
              <w:jc w:val="both"/>
              <w:rPr/>
            </w:pPr>
            <w:r>
              <w:rPr>
                <w:spacing w:val="11"/>
              </w:rPr>
              <w:t>中国证券监督管理委员会浙江监管局发现万某波在中信证券股 </w:t>
            </w:r>
            <w:r>
              <w:rPr>
                <w:spacing w:val="9"/>
              </w:rPr>
              <w:t>份有限公司浙江分公司从业期间， 屡次向客户提供开户知识测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评或风险测评答案， 提示客户提高风险承受等级。</w:t>
            </w:r>
          </w:p>
        </w:tc>
      </w:tr>
      <w:tr>
        <w:trPr>
          <w:trHeight w:val="721" w:hRule="atLeast"/>
        </w:trPr>
        <w:tc>
          <w:tcPr>
            <w:tcW w:w="8706" w:type="dxa"/>
            <w:vAlign w:val="top"/>
            <w:gridSpan w:val="3"/>
            <w:tcBorders>
              <w:bottom w:val="single" w:color="366091" w:sz="2" w:space="0"/>
            </w:tcBorders>
          </w:tcPr>
          <w:p>
            <w:pPr>
              <w:pStyle w:val="TableText"/>
              <w:ind w:left="105" w:right="101" w:firstLine="16"/>
              <w:spacing w:before="41" w:line="234" w:lineRule="auto"/>
              <w:rPr/>
            </w:pPr>
            <w:r>
              <w:rPr>
                <w:b/>
                <w:bCs/>
                <w:spacing w:val="11"/>
              </w:rPr>
              <w:t>【行政监管措施】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中国证券监督管理委员会浙江监管局决定对万某波采取</w:t>
            </w:r>
            <w:r>
              <w:rPr>
                <w:spacing w:val="10"/>
              </w:rPr>
              <w:t>责令改正的行政监</w:t>
            </w:r>
            <w:r>
              <w:rPr/>
              <w:t xml:space="preserve"> </w:t>
            </w:r>
            <w:r>
              <w:rPr>
                <w:spacing w:val="6"/>
              </w:rPr>
              <w:t>管措施。</w:t>
            </w:r>
          </w:p>
        </w:tc>
      </w:tr>
      <w:tr>
        <w:trPr>
          <w:trHeight w:val="1086" w:hRule="atLeast"/>
        </w:trPr>
        <w:tc>
          <w:tcPr>
            <w:shd w:val="clear" w:fill="B8CCE4"/>
            <w:tcW w:w="1313" w:type="dxa"/>
            <w:vAlign w:val="top"/>
            <w:tcBorders>
              <w:left w:val="single" w:color="366091" w:sz="2" w:space="0"/>
              <w:bottom w:val="single" w:color="366091" w:sz="2" w:space="0"/>
              <w:right w:val="single" w:color="366091" w:sz="2" w:space="0"/>
              <w:top w:val="single" w:color="366091" w:sz="2" w:space="0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5" w:line="179" w:lineRule="auto"/>
              <w:rPr/>
            </w:pPr>
            <w:r>
              <w:rPr>
                <w:spacing w:val="3"/>
              </w:rPr>
              <w:t>600109</w:t>
            </w:r>
          </w:p>
        </w:tc>
        <w:tc>
          <w:tcPr>
            <w:shd w:val="clear" w:fill="B8CCE4"/>
            <w:tcW w:w="1449" w:type="dxa"/>
            <w:vAlign w:val="top"/>
            <w:tcBorders>
              <w:left w:val="single" w:color="366091" w:sz="2" w:space="0"/>
              <w:bottom w:val="single" w:color="366091" w:sz="2" w:space="0"/>
              <w:right w:val="single" w:color="366091" w:sz="2" w:space="0"/>
              <w:top w:val="single" w:color="366091" w:sz="2" w:space="0"/>
            </w:tcBorders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2"/>
              <w:spacing w:before="86" w:line="188" w:lineRule="auto"/>
              <w:rPr/>
            </w:pPr>
            <w:r>
              <w:rPr>
                <w:spacing w:val="5"/>
              </w:rPr>
              <w:t>国金证券</w:t>
            </w:r>
          </w:p>
        </w:tc>
        <w:tc>
          <w:tcPr>
            <w:shd w:val="clear" w:fill="B8CCE4"/>
            <w:tcW w:w="5944" w:type="dxa"/>
            <w:vAlign w:val="top"/>
            <w:tcBorders>
              <w:left w:val="single" w:color="366091" w:sz="2" w:space="0"/>
              <w:bottom w:val="single" w:color="366091" w:sz="2" w:space="0"/>
              <w:right w:val="single" w:color="366091" w:sz="2" w:space="0"/>
              <w:top w:val="single" w:color="366091" w:sz="2" w:space="0"/>
            </w:tcBorders>
          </w:tcPr>
          <w:p>
            <w:pPr>
              <w:pStyle w:val="TableText"/>
              <w:ind w:left="104" w:right="109" w:firstLine="5"/>
              <w:spacing w:before="89" w:line="230" w:lineRule="auto"/>
              <w:jc w:val="both"/>
              <w:rPr/>
            </w:pPr>
            <w:r>
              <w:rPr>
                <w:spacing w:val="12"/>
              </w:rPr>
              <w:t>王某成在国金证券股份有限公司成都青白江青江</w:t>
            </w:r>
            <w:r>
              <w:rPr>
                <w:spacing w:val="11"/>
              </w:rPr>
              <w:t>东路证券营业</w:t>
            </w:r>
            <w:r>
              <w:rPr/>
              <w:t xml:space="preserve"> </w:t>
            </w:r>
            <w:r>
              <w:rPr>
                <w:spacing w:val="9"/>
              </w:rPr>
              <w:t>部任职期间， 存在未向个别银行渠道客户有效揭示实际承担基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金销售业务的主体、所销售基金产品等重要信息的行为。</w:t>
            </w:r>
          </w:p>
        </w:tc>
      </w:tr>
      <w:tr>
        <w:trPr>
          <w:trHeight w:val="729" w:hRule="atLeast"/>
        </w:trPr>
        <w:tc>
          <w:tcPr>
            <w:tcW w:w="8706" w:type="dxa"/>
            <w:vAlign w:val="top"/>
            <w:gridSpan w:val="3"/>
            <w:tcBorders>
              <w:left w:val="single" w:color="366091" w:sz="2" w:space="0"/>
              <w:bottom w:val="single" w:color="366091" w:sz="2" w:space="0"/>
              <w:right w:val="single" w:color="366091" w:sz="2" w:space="0"/>
              <w:top w:val="single" w:color="366091" w:sz="2" w:space="0"/>
            </w:tcBorders>
          </w:tcPr>
          <w:p>
            <w:pPr>
              <w:pStyle w:val="TableText"/>
              <w:ind w:left="110" w:right="111" w:firstLine="16"/>
              <w:spacing w:before="44" w:line="236" w:lineRule="auto"/>
              <w:rPr/>
            </w:pPr>
            <w:r>
              <w:rPr>
                <w:b/>
                <w:bCs/>
                <w:spacing w:val="11"/>
              </w:rPr>
              <w:t>【行政监管措施</w:t>
            </w:r>
            <w:r>
              <w:rPr>
                <w:spacing w:val="11"/>
              </w:rPr>
              <w:t>】</w:t>
            </w:r>
            <w:r>
              <w:rPr>
                <w:spacing w:val="-31"/>
              </w:rPr>
              <w:t xml:space="preserve"> </w:t>
            </w:r>
            <w:r>
              <w:rPr>
                <w:spacing w:val="11"/>
              </w:rPr>
              <w:t>中国证券监督管理委员会四川监管局决定对王某成采取</w:t>
            </w:r>
            <w:r>
              <w:rPr>
                <w:spacing w:val="10"/>
              </w:rPr>
              <w:t>责令改正的行政监</w:t>
            </w:r>
            <w:r>
              <w:rPr/>
              <w:t xml:space="preserve"> </w:t>
            </w:r>
            <w:r>
              <w:rPr>
                <w:spacing w:val="5"/>
              </w:rPr>
              <w:t>管措施， 并记入证券期货市场诚信档案。</w:t>
            </w:r>
          </w:p>
        </w:tc>
      </w:tr>
    </w:tbl>
    <w:p>
      <w:pPr>
        <w:pStyle w:val="BodyText"/>
        <w:spacing w:line="315" w:lineRule="auto"/>
        <w:rPr/>
      </w:pPr>
      <w:r/>
    </w:p>
    <w:p>
      <w:pPr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3"/>
        </w:rPr>
        <w:t>（4） 立案调查</w:t>
      </w:r>
    </w:p>
    <w:p>
      <w:pPr>
        <w:spacing w:line="177" w:lineRule="exact"/>
        <w:rPr/>
      </w:pPr>
      <w:r/>
    </w:p>
    <w:tbl>
      <w:tblPr>
        <w:tblStyle w:val="TableNormal"/>
        <w:tblW w:w="8706" w:type="dxa"/>
        <w:tblInd w:w="750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313"/>
        <w:gridCol w:w="1449"/>
        <w:gridCol w:w="5944"/>
      </w:tblGrid>
      <w:tr>
        <w:trPr>
          <w:trHeight w:val="386" w:hRule="atLeast"/>
        </w:trPr>
        <w:tc>
          <w:tcPr>
            <w:shd w:val="clear" w:fill="4F81BD"/>
            <w:tcW w:w="131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29"/>
              <w:spacing w:before="107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449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96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94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544"/>
              <w:spacing w:before="107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313" w:type="dxa"/>
            <w:vAlign w:val="top"/>
            <w:tcBorders>
              <w:top w:val="single" w:color="FFFFFF" w:sz="2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6"/>
              <w:spacing w:before="86" w:line="178" w:lineRule="auto"/>
              <w:rPr/>
            </w:pPr>
            <w:r>
              <w:rPr>
                <w:spacing w:val="3"/>
              </w:rPr>
              <w:t>002505</w:t>
            </w:r>
          </w:p>
        </w:tc>
        <w:tc>
          <w:tcPr>
            <w:shd w:val="clear" w:fill="B8CCE4"/>
            <w:tcW w:w="1449" w:type="dxa"/>
            <w:vAlign w:val="top"/>
            <w:tcBorders>
              <w:top w:val="single" w:color="FFFFFF" w:sz="2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5" w:line="189" w:lineRule="auto"/>
              <w:rPr/>
            </w:pPr>
            <w:r>
              <w:rPr>
                <w:spacing w:val="8"/>
              </w:rPr>
              <w:t>鹏都农牧</w:t>
            </w:r>
          </w:p>
        </w:tc>
        <w:tc>
          <w:tcPr>
            <w:shd w:val="clear" w:fill="B8CCE4"/>
            <w:tcW w:w="594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0" w:right="104"/>
              <w:spacing w:before="83" w:line="236" w:lineRule="auto"/>
              <w:jc w:val="both"/>
              <w:rPr/>
            </w:pPr>
            <w:r>
              <w:rPr>
                <w:spacing w:val="9"/>
              </w:rPr>
              <w:t>公司及公司控股股东鹏欣集团</w:t>
            </w:r>
            <w:r>
              <w:rPr>
                <w:b/>
                <w:bCs/>
                <w:spacing w:val="9"/>
              </w:rPr>
              <w:t>因涉嫌信息披露违法违规</w:t>
            </w:r>
            <w:r>
              <w:rPr>
                <w:spacing w:val="9"/>
              </w:rPr>
              <w:t>， 根据</w:t>
            </w:r>
            <w:r>
              <w:rPr>
                <w:spacing w:val="11"/>
              </w:rPr>
              <w:t xml:space="preserve"> </w:t>
            </w:r>
            <w:r>
              <w:rPr>
                <w:spacing w:val="12"/>
              </w:rPr>
              <w:t>《中华人民共和国证券法》《中华人民共和国行政处罚法》等</w:t>
            </w:r>
            <w:r>
              <w:rPr/>
              <w:t xml:space="preserve"> </w:t>
            </w:r>
            <w:r>
              <w:rPr>
                <w:spacing w:val="9"/>
              </w:rPr>
              <w:t>法律法规， 中国证监会决定对公司及公司控股股东鹏欣集团进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行立案。</w:t>
            </w:r>
          </w:p>
        </w:tc>
      </w:tr>
      <w:tr>
        <w:trPr>
          <w:trHeight w:val="1082" w:hRule="atLeast"/>
        </w:trPr>
        <w:tc>
          <w:tcPr>
            <w:tcW w:w="1313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79" w:lineRule="auto"/>
              <w:rPr/>
            </w:pPr>
            <w:r>
              <w:rPr>
                <w:spacing w:val="3"/>
              </w:rPr>
              <w:t>603517</w:t>
            </w:r>
          </w:p>
        </w:tc>
        <w:tc>
          <w:tcPr>
            <w:tcW w:w="144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6" w:line="189" w:lineRule="auto"/>
              <w:rPr/>
            </w:pPr>
            <w:r>
              <w:rPr>
                <w:spacing w:val="8"/>
              </w:rPr>
              <w:t>绝味食品</w:t>
            </w:r>
          </w:p>
        </w:tc>
        <w:tc>
          <w:tcPr>
            <w:tcW w:w="5944" w:type="dxa"/>
            <w:vAlign w:val="top"/>
          </w:tcPr>
          <w:p>
            <w:pPr>
              <w:pStyle w:val="TableText"/>
              <w:ind w:left="101" w:right="104" w:firstLine="14"/>
              <w:spacing w:before="46" w:line="239" w:lineRule="auto"/>
              <w:jc w:val="both"/>
              <w:rPr/>
            </w:pPr>
            <w:r>
              <w:rPr>
                <w:spacing w:val="16"/>
              </w:rPr>
              <w:t>因公司</w:t>
            </w:r>
            <w:r>
              <w:rPr>
                <w:b/>
                <w:bCs/>
                <w:spacing w:val="16"/>
              </w:rPr>
              <w:t>涉嫌信息披露违法违规</w:t>
            </w:r>
            <w:r>
              <w:rPr>
                <w:spacing w:val="16"/>
              </w:rPr>
              <w:t>， 根据《中华人民共和国证券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9"/>
              </w:rPr>
              <w:t>法》《中华人民共和国行政处罚法》等法律法规， 中国证监会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决定对公司立案。</w:t>
            </w:r>
          </w:p>
        </w:tc>
      </w:tr>
      <w:tr>
        <w:trPr>
          <w:trHeight w:val="372" w:hRule="atLeast"/>
        </w:trPr>
        <w:tc>
          <w:tcPr>
            <w:shd w:val="clear" w:fill="B8CCE4"/>
            <w:tcW w:w="1313" w:type="dxa"/>
            <w:vAlign w:val="top"/>
          </w:tcPr>
          <w:p>
            <w:pPr>
              <w:pStyle w:val="TableText"/>
              <w:ind w:left="289"/>
              <w:spacing w:before="106" w:line="178" w:lineRule="auto"/>
              <w:rPr/>
            </w:pPr>
            <w:r>
              <w:rPr>
                <w:spacing w:val="3"/>
              </w:rPr>
              <w:t>603869</w:t>
            </w:r>
          </w:p>
        </w:tc>
        <w:tc>
          <w:tcPr>
            <w:shd w:val="clear" w:fill="B8CCE4"/>
            <w:tcW w:w="1449" w:type="dxa"/>
            <w:vAlign w:val="top"/>
          </w:tcPr>
          <w:p>
            <w:pPr>
              <w:pStyle w:val="TableText"/>
              <w:ind w:left="393"/>
              <w:spacing w:before="91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智知</w:t>
            </w:r>
          </w:p>
        </w:tc>
        <w:tc>
          <w:tcPr>
            <w:shd w:val="clear" w:fill="B8CCE4"/>
            <w:tcW w:w="5944" w:type="dxa"/>
            <w:vAlign w:val="top"/>
          </w:tcPr>
          <w:p>
            <w:pPr>
              <w:pStyle w:val="TableText"/>
              <w:ind w:left="115"/>
              <w:spacing w:before="53" w:line="216" w:lineRule="auto"/>
              <w:rPr/>
            </w:pPr>
            <w:r>
              <w:rPr>
                <w:spacing w:val="16"/>
              </w:rPr>
              <w:t>因公司</w:t>
            </w:r>
            <w:r>
              <w:rPr>
                <w:b/>
                <w:bCs/>
                <w:spacing w:val="16"/>
              </w:rPr>
              <w:t>涉嫌信息披露违法违规</w:t>
            </w:r>
            <w:r>
              <w:rPr>
                <w:spacing w:val="16"/>
              </w:rPr>
              <w:t>， 根据《中华人民共和国证券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8"/>
          <w:pgMar w:top="400" w:right="1691" w:bottom="0" w:left="749" w:header="0" w:footer="0" w:gutter="0"/>
        </w:sectPr>
        <w:rPr/>
      </w:pPr>
    </w:p>
    <w:tbl>
      <w:tblPr>
        <w:tblStyle w:val="TableNormal"/>
        <w:tblW w:w="8706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313"/>
        <w:gridCol w:w="1449"/>
        <w:gridCol w:w="5944"/>
      </w:tblGrid>
      <w:tr>
        <w:trPr>
          <w:trHeight w:val="738" w:hRule="atLeast"/>
        </w:trPr>
        <w:tc>
          <w:tcPr>
            <w:shd w:val="clear" w:fill="B8CCE4"/>
            <w:tcW w:w="131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449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94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1" w:right="104"/>
              <w:spacing w:before="61" w:line="233" w:lineRule="auto"/>
              <w:rPr/>
            </w:pPr>
            <w:r>
              <w:rPr>
                <w:spacing w:val="9"/>
              </w:rPr>
              <w:t>法》《中华人民共和国行政处罚法》等法律法规， 中国证监会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决定对公司立案。</w:t>
            </w:r>
          </w:p>
        </w:tc>
      </w:tr>
      <w:tr>
        <w:trPr>
          <w:trHeight w:val="1087" w:hRule="atLeast"/>
        </w:trPr>
        <w:tc>
          <w:tcPr>
            <w:tcW w:w="1313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2"/>
              <w:spacing w:before="86" w:line="178" w:lineRule="auto"/>
              <w:rPr/>
            </w:pPr>
            <w:r>
              <w:rPr>
                <w:spacing w:val="2"/>
              </w:rPr>
              <w:t>300233</w:t>
            </w:r>
          </w:p>
        </w:tc>
        <w:tc>
          <w:tcPr>
            <w:tcW w:w="144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3"/>
              <w:spacing w:before="85" w:line="188" w:lineRule="auto"/>
              <w:rPr/>
            </w:pPr>
            <w:r>
              <w:rPr>
                <w:spacing w:val="9"/>
              </w:rPr>
              <w:t>金城医药</w:t>
            </w:r>
          </w:p>
        </w:tc>
        <w:tc>
          <w:tcPr>
            <w:tcW w:w="5944" w:type="dxa"/>
            <w:vAlign w:val="top"/>
          </w:tcPr>
          <w:p>
            <w:pPr>
              <w:pStyle w:val="TableText"/>
              <w:ind w:left="99" w:right="104" w:firstLine="15"/>
              <w:spacing w:before="47"/>
              <w:jc w:val="both"/>
              <w:rPr/>
            </w:pPr>
            <w:r>
              <w:rPr>
                <w:spacing w:val="9"/>
              </w:rPr>
              <w:t>因</w:t>
            </w:r>
            <w:r>
              <w:rPr>
                <w:b/>
                <w:bCs/>
                <w:spacing w:val="9"/>
              </w:rPr>
              <w:t>涉嫌操纵证券市场违法违规行为</w:t>
            </w:r>
            <w:r>
              <w:rPr>
                <w:spacing w:val="9"/>
              </w:rPr>
              <w:t>， 根据《中华人民共</w:t>
            </w:r>
            <w:r>
              <w:rPr>
                <w:spacing w:val="8"/>
              </w:rPr>
              <w:t>和国证</w:t>
            </w:r>
            <w:r>
              <w:rPr/>
              <w:t xml:space="preserve"> </w:t>
            </w:r>
            <w:r>
              <w:rPr>
                <w:spacing w:val="9"/>
              </w:rPr>
              <w:t>券法》《中华人民共和国行政处罚法》等法律法规，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9"/>
              </w:rPr>
              <w:t>中国证监</w:t>
            </w:r>
            <w:r>
              <w:rPr/>
              <w:t xml:space="preserve"> </w:t>
            </w:r>
            <w:r>
              <w:rPr>
                <w:spacing w:val="8"/>
              </w:rPr>
              <w:t>会决定对实际控制人立案。</w:t>
            </w:r>
          </w:p>
        </w:tc>
      </w:tr>
    </w:tbl>
    <w:p>
      <w:pPr>
        <w:pStyle w:val="BodyText"/>
        <w:rPr/>
      </w:pPr>
      <w:r/>
    </w:p>
    <w:p>
      <w:pPr>
        <w:sectPr>
          <w:pgSz w:w="11906" w:h="16838"/>
          <w:pgMar w:top="400" w:right="1691" w:bottom="0" w:left="1492" w:header="0" w:footer="0" w:gutter="0"/>
        </w:sectPr>
        <w:rPr/>
      </w:pPr>
    </w:p>
    <w:p>
      <w:pPr>
        <w:ind w:left="1655"/>
        <w:spacing w:before="2" w:line="185" w:lineRule="auto"/>
        <w:rPr>
          <w:rFonts w:ascii="Microsoft YaHei" w:hAnsi="Microsoft YaHei" w:eastAsia="Microsoft YaHei" w:cs="Microsoft YaHei"/>
          <w:sz w:val="43"/>
          <w:szCs w:val="43"/>
        </w:rPr>
      </w:pPr>
      <w:r>
        <w:pict>
          <v:group id="_x0000_s36" style="position:absolute;margin-left:0.48pt;margin-top:0.359985pt;mso-position-vertical-relative:page;mso-position-horizontal-relative:page;width:67.95pt;height:57pt;z-index:-251637760;" o:allowincell="f" filled="false" stroked="false" coordsize="1358,1140" coordorigin="0,0">
            <v:shape id="_x0000_s38" style="position:absolute;left:0;top:0;width:1358;height:1140;" fillcolor="#A61C1F" filled="true" stroked="false" coordsize="1358,1140" coordorigin="0,0" path="m,l1358,0l1358,1140l0,1140l0,0xe"/>
            <v:shape id="_x0000_s40" style="position:absolute;left:240;top:115;width:819;height:913;" fillcolor="#FFFFFF" filled="true" stroked="false" coordsize="819,913" coordorigin="0,0" path="m595,777l225,777l213,772l213,732l225,724l595,724l604,732l604,772l595,777xm583,708l237,708l225,700l225,688l213,635l182,585l136,532l88,480l45,424l14,362l0,297l0,292l7,237l24,189l50,144l86,105l129,74l177,48l230,26l287,12l347,4l410,0l470,4l530,12l588,26l643,48l691,74l734,105l736,110l367,110l360,117l360,124l355,148l355,153l235,153l201,177l189,187l177,196l172,201l172,208l177,215l208,244l211,244l211,249l204,259l196,268l192,280l187,292l187,292l184,292l182,295l170,295l124,297l117,304l117,372l124,376l136,376l182,381l184,381l187,384l187,386l192,395l196,405l204,417l211,427l211,429l201,439l194,446l177,460l172,465l172,475l177,480l225,518l235,523l355,523l357,540l360,549l360,559l367,566l650,566l638,578l604,631l592,688l592,700l583,708xm525,184l525,182l499,172l484,168l470,165l468,165l468,163l465,160l465,148l463,136l463,124l460,117l453,110l736,110l770,144l775,153l588,153l576,153l566,158l530,182l530,182l525,184xm295,184l292,182l290,182l280,177l271,170l261,165l252,158l244,153l235,153l355,153l352,160l352,163l350,165l350,165l336,168l321,172l309,177l295,182l295,184xm686,523l588,523l648,475l645,465l640,460l626,446l619,439l609,429l609,429l612,427l616,417l621,405l628,395l633,386l633,384l636,381l638,381l684,376l693,376l705,372l705,304l693,297l684,297l650,295l638,295l636,292l633,292l633,292l628,280l621,268l616,259l612,249l609,249l609,244l612,244l640,215l645,208l648,201l640,196l628,187l616,177l592,158l588,153l775,153l796,189l813,237l818,292l818,297l806,362l775,422l729,477l686,523xm410,448l355,439l309,415l278,381l268,338l278,295l309,261l355,237l410,228l465,237l511,261l540,295l552,338l540,381l511,415l465,439l410,448xm355,523l244,523l252,515l261,511l271,506l280,501l290,494l292,492l295,492l309,499l321,504l336,506l350,508l352,513l352,515l355,523xm650,566l453,566l460,559l463,549l463,540l465,525l465,513l468,513l468,511l470,508l499,504l511,499l525,492l530,492l530,494l540,501l549,506l559,511l566,515l576,523l686,523l681,528l650,566xm561,912l259,912l249,907l249,866l259,859l561,859l571,866l571,907l561,912xm583,844l237,844l227,840l227,796l237,792l583,792l592,796l592,840l583,844xe"/>
          </v:group>
        </w:pict>
      </w: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监管动态</w:t>
      </w:r>
    </w:p>
    <w:p>
      <w:pPr>
        <w:ind w:firstLine="1327"/>
        <w:spacing w:before="208" w:line="50" w:lineRule="exact"/>
        <w:rPr/>
      </w:pPr>
      <w:r>
        <w:rPr>
          <w:position w:val="-1"/>
        </w:rPr>
        <w:pict>
          <v:shape id="_x0000_s42" style="mso-position-vertical-relative:line;mso-position-horizontal-relative:char;width:525.6pt;height:2.55pt;" filled="false" strokecolor="#A61C1F" strokeweight="2.52pt" coordsize="10511,50" coordorigin="0,0" path="m0,25l10511,25e">
            <v:stroke miterlimit="10"/>
          </v:shape>
        </w:pict>
      </w: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341"/>
        <w:spacing w:before="120" w:line="183" w:lineRule="auto"/>
        <w:rPr>
          <w:rFonts w:ascii="Microsoft YaHei" w:hAnsi="Microsoft YaHei" w:eastAsia="Microsoft YaHei" w:cs="Microsoft YaHei"/>
          <w:sz w:val="28"/>
          <w:szCs w:val="28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6096</wp:posOffset>
            </wp:positionH>
            <wp:positionV relativeFrom="paragraph">
              <wp:posOffset>-93394</wp:posOffset>
            </wp:positionV>
            <wp:extent cx="1711451" cy="58674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1451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FFFFFF"/>
          <w:spacing w:val="-1"/>
        </w:rPr>
        <w:t>上交所监管动态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888"/>
        <w:spacing w:before="104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6"/>
        </w:rPr>
        <w:t>1、上市公司监管动态</w:t>
      </w:r>
    </w:p>
    <w:p>
      <w:pPr>
        <w:ind w:left="447" w:right="588" w:firstLine="473"/>
        <w:spacing w:before="171" w:line="35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</w:rPr>
        <w:t>2024年8月12日-8月18日， 上交所公司监管部门作出5份监管警示函， 对3宗行为予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以纪律处分。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同时， 加大信息披露和股价异常的联动监管， 针对公司披露敏感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信息或股价发生明显异常的， 提请启动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内幕交易、异常交易核查7单。</w:t>
      </w:r>
    </w:p>
    <w:p>
      <w:pPr>
        <w:pStyle w:val="BodyText"/>
        <w:spacing w:line="297" w:lineRule="auto"/>
        <w:rPr/>
      </w:pPr>
      <w:r/>
    </w:p>
    <w:p>
      <w:pPr>
        <w:ind w:firstLine="1295"/>
        <w:spacing w:before="1" w:line="5222" w:lineRule="exact"/>
        <w:rPr/>
      </w:pPr>
      <w:r>
        <w:rPr>
          <w:position w:val="-104"/>
        </w:rPr>
        <w:drawing>
          <wp:inline distT="0" distB="0" distL="0" distR="0">
            <wp:extent cx="5765291" cy="3316224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65291" cy="3316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8" w:lineRule="auto"/>
        <w:rPr/>
      </w:pPr>
      <w:r/>
    </w:p>
    <w:p>
      <w:pPr>
        <w:pStyle w:val="BodyText"/>
        <w:spacing w:line="308" w:lineRule="auto"/>
        <w:rPr/>
      </w:pPr>
      <w:r/>
    </w:p>
    <w:p>
      <w:pPr>
        <w:ind w:left="740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（1） 监管措施统计</w:t>
      </w:r>
    </w:p>
    <w:p>
      <w:pPr>
        <w:spacing w:line="214" w:lineRule="exact"/>
        <w:rPr/>
      </w:pPr>
      <w:r/>
    </w:p>
    <w:tbl>
      <w:tblPr>
        <w:tblStyle w:val="TableNormal"/>
        <w:tblW w:w="8706" w:type="dxa"/>
        <w:tblInd w:w="1653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62"/>
        <w:gridCol w:w="1203"/>
        <w:gridCol w:w="1306"/>
        <w:gridCol w:w="4935"/>
      </w:tblGrid>
      <w:tr>
        <w:trPr>
          <w:trHeight w:val="377" w:hRule="atLeast"/>
        </w:trPr>
        <w:tc>
          <w:tcPr>
            <w:shd w:val="clear" w:fill="C0504D"/>
            <w:tcW w:w="1262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5"/>
              <w:spacing w:before="88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03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4"/>
              <w:spacing w:before="88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130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36"/>
              <w:spacing w:before="89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  <w:tc>
          <w:tcPr>
            <w:shd w:val="clear" w:fill="C0504D"/>
            <w:tcW w:w="493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39"/>
              <w:spacing w:before="88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违规类型</w:t>
            </w:r>
          </w:p>
        </w:tc>
      </w:tr>
      <w:tr>
        <w:trPr>
          <w:trHeight w:val="1436" w:hRule="atLeast"/>
        </w:trPr>
        <w:tc>
          <w:tcPr>
            <w:tcW w:w="1262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63"/>
              <w:spacing w:before="92" w:line="178" w:lineRule="auto"/>
              <w:rPr/>
            </w:pPr>
            <w:r>
              <w:rPr>
                <w:spacing w:val="3"/>
              </w:rPr>
              <w:t>600804</w:t>
            </w:r>
          </w:p>
        </w:tc>
        <w:tc>
          <w:tcPr>
            <w:tcW w:w="1203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19"/>
              <w:spacing w:before="77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鹏博</w:t>
            </w:r>
          </w:p>
        </w:tc>
        <w:tc>
          <w:tcPr>
            <w:tcW w:w="130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24"/>
              <w:spacing w:before="80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493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3"/>
              <w:spacing w:before="77" w:line="189" w:lineRule="auto"/>
              <w:rPr/>
            </w:pPr>
            <w:r>
              <w:rPr>
                <w:spacing w:val="6"/>
              </w:rPr>
              <w:t>未按规定披露</w:t>
            </w:r>
            <w:r>
              <w:rPr>
                <w:b/>
                <w:bCs/>
                <w:spacing w:val="6"/>
              </w:rPr>
              <w:t>关联交易</w:t>
            </w:r>
            <w:r>
              <w:rPr>
                <w:spacing w:val="6"/>
              </w:rPr>
              <w:t>； 未按规定披露</w:t>
            </w:r>
            <w:r>
              <w:rPr>
                <w:b/>
                <w:bCs/>
                <w:spacing w:val="6"/>
              </w:rPr>
              <w:t>重大合同</w:t>
            </w:r>
            <w:r>
              <w:rPr>
                <w:spacing w:val="6"/>
              </w:rPr>
              <w:t>；</w:t>
            </w:r>
          </w:p>
          <w:p>
            <w:pPr>
              <w:pStyle w:val="TableText"/>
              <w:ind w:left="4" w:right="92" w:firstLine="5"/>
              <w:spacing w:before="87" w:line="231" w:lineRule="auto"/>
              <w:rPr/>
            </w:pPr>
            <w:r>
              <w:rPr>
                <w:spacing w:val="6"/>
              </w:rPr>
              <w:t>*</w:t>
            </w:r>
            <w:r>
              <w:rPr/>
              <w:t>ST</w:t>
            </w:r>
            <w:r>
              <w:rPr>
                <w:spacing w:val="6"/>
              </w:rPr>
              <w:t>鹏博相关年度报告存在</w:t>
            </w:r>
            <w:r>
              <w:rPr>
                <w:b/>
                <w:bCs/>
                <w:spacing w:val="6"/>
              </w:rPr>
              <w:t>虚假记载</w:t>
            </w:r>
            <w:r>
              <w:rPr>
                <w:spacing w:val="6"/>
              </w:rPr>
              <w:t>； 未按规定披露</w:t>
            </w:r>
            <w:r>
              <w:rPr>
                <w:spacing w:val="8"/>
              </w:rPr>
              <w:t xml:space="preserve">  </w:t>
            </w:r>
            <w:r>
              <w:rPr>
                <w:b/>
                <w:bCs/>
                <w:spacing w:val="7"/>
              </w:rPr>
              <w:t>未能清偿到期债务及债务重组</w:t>
            </w:r>
            <w:r>
              <w:rPr>
                <w:spacing w:val="7"/>
              </w:rPr>
              <w:t>事项； 实际</w:t>
            </w:r>
            <w:r>
              <w:rPr>
                <w:spacing w:val="6"/>
              </w:rPr>
              <w:t>控制人</w:t>
            </w:r>
            <w:r>
              <w:rPr>
                <w:b/>
                <w:bCs/>
                <w:spacing w:val="6"/>
              </w:rPr>
              <w:t>非经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8"/>
              </w:rPr>
              <w:t>营性占用</w:t>
            </w:r>
            <w:r>
              <w:rPr>
                <w:spacing w:val="8"/>
              </w:rPr>
              <w:t>上市公司资金。</w:t>
            </w:r>
          </w:p>
        </w:tc>
      </w:tr>
      <w:tr>
        <w:trPr>
          <w:trHeight w:val="1442" w:hRule="atLeast"/>
        </w:trPr>
        <w:tc>
          <w:tcPr>
            <w:shd w:val="clear" w:fill="F2DCDC"/>
            <w:tcW w:w="1262" w:type="dxa"/>
            <w:vAlign w:val="top"/>
          </w:tcPr>
          <w:p>
            <w:pPr>
              <w:pStyle w:val="TableText"/>
              <w:ind w:left="263"/>
              <w:spacing w:before="103" w:line="178" w:lineRule="auto"/>
              <w:rPr/>
            </w:pPr>
            <w:r>
              <w:rPr>
                <w:spacing w:val="3"/>
              </w:rPr>
              <w:t>600804</w:t>
            </w:r>
          </w:p>
        </w:tc>
        <w:tc>
          <w:tcPr>
            <w:shd w:val="clear" w:fill="F2DCDC"/>
            <w:tcW w:w="1203" w:type="dxa"/>
            <w:vAlign w:val="top"/>
          </w:tcPr>
          <w:p>
            <w:pPr>
              <w:pStyle w:val="TableText"/>
              <w:ind w:left="219"/>
              <w:spacing w:before="88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鹏博</w:t>
            </w:r>
          </w:p>
        </w:tc>
        <w:tc>
          <w:tcPr>
            <w:shd w:val="clear" w:fill="F2DCDC"/>
            <w:tcW w:w="1306" w:type="dxa"/>
            <w:vAlign w:val="top"/>
          </w:tcPr>
          <w:p>
            <w:pPr>
              <w:pStyle w:val="TableText"/>
              <w:ind w:left="16"/>
              <w:spacing w:before="88" w:line="189" w:lineRule="auto"/>
              <w:rPr/>
            </w:pPr>
            <w:r>
              <w:rPr>
                <w:spacing w:val="9"/>
              </w:rPr>
              <w:t>公开认定一定</w:t>
            </w:r>
          </w:p>
          <w:p>
            <w:pPr>
              <w:pStyle w:val="TableText"/>
              <w:ind w:left="16"/>
              <w:spacing w:before="92" w:line="187" w:lineRule="auto"/>
              <w:rPr/>
            </w:pPr>
            <w:r>
              <w:rPr>
                <w:spacing w:val="9"/>
              </w:rPr>
              <w:t>期限内不适合</w:t>
            </w:r>
          </w:p>
          <w:p>
            <w:pPr>
              <w:pStyle w:val="TableText"/>
              <w:ind w:left="121"/>
              <w:spacing w:before="88" w:line="190" w:lineRule="auto"/>
              <w:rPr/>
            </w:pPr>
            <w:r>
              <w:rPr>
                <w:spacing w:val="8"/>
              </w:rPr>
              <w:t>担任董监高</w:t>
            </w:r>
          </w:p>
        </w:tc>
        <w:tc>
          <w:tcPr>
            <w:shd w:val="clear" w:fill="F2DCDC"/>
            <w:tcW w:w="4935" w:type="dxa"/>
            <w:vAlign w:val="top"/>
          </w:tcPr>
          <w:p>
            <w:pPr>
              <w:pStyle w:val="TableText"/>
              <w:ind w:left="3"/>
              <w:spacing w:before="88" w:line="189" w:lineRule="auto"/>
              <w:rPr/>
            </w:pPr>
            <w:r>
              <w:rPr>
                <w:spacing w:val="6"/>
              </w:rPr>
              <w:t>未按规定披露</w:t>
            </w:r>
            <w:r>
              <w:rPr>
                <w:b/>
                <w:bCs/>
                <w:spacing w:val="6"/>
              </w:rPr>
              <w:t>关联交易</w:t>
            </w:r>
            <w:r>
              <w:rPr>
                <w:spacing w:val="6"/>
              </w:rPr>
              <w:t>； 未按规定披露</w:t>
            </w:r>
            <w:r>
              <w:rPr>
                <w:b/>
                <w:bCs/>
                <w:spacing w:val="6"/>
              </w:rPr>
              <w:t>重大合同</w:t>
            </w:r>
            <w:r>
              <w:rPr>
                <w:spacing w:val="6"/>
              </w:rPr>
              <w:t>；</w:t>
            </w:r>
          </w:p>
          <w:p>
            <w:pPr>
              <w:pStyle w:val="TableText"/>
              <w:ind w:left="4" w:right="92" w:firstLine="5"/>
              <w:spacing w:before="86" w:line="230" w:lineRule="auto"/>
              <w:rPr/>
            </w:pPr>
            <w:r>
              <w:rPr>
                <w:spacing w:val="6"/>
              </w:rPr>
              <w:t>*</w:t>
            </w:r>
            <w:r>
              <w:rPr/>
              <w:t>ST</w:t>
            </w:r>
            <w:r>
              <w:rPr>
                <w:spacing w:val="6"/>
              </w:rPr>
              <w:t>鹏博相关年度报告存在</w:t>
            </w:r>
            <w:r>
              <w:rPr>
                <w:b/>
                <w:bCs/>
                <w:spacing w:val="6"/>
              </w:rPr>
              <w:t>虚假记载</w:t>
            </w:r>
            <w:r>
              <w:rPr>
                <w:spacing w:val="6"/>
              </w:rPr>
              <w:t>； 未按规定披露</w:t>
            </w:r>
            <w:r>
              <w:rPr>
                <w:spacing w:val="8"/>
              </w:rPr>
              <w:t xml:space="preserve">  </w:t>
            </w:r>
            <w:r>
              <w:rPr>
                <w:b/>
                <w:bCs/>
                <w:spacing w:val="7"/>
              </w:rPr>
              <w:t>未能清偿到期债务及债务重组</w:t>
            </w:r>
            <w:r>
              <w:rPr>
                <w:spacing w:val="7"/>
              </w:rPr>
              <w:t>事项； 实际</w:t>
            </w:r>
            <w:r>
              <w:rPr>
                <w:spacing w:val="6"/>
              </w:rPr>
              <w:t>控制人</w:t>
            </w:r>
            <w:r>
              <w:rPr>
                <w:b/>
                <w:bCs/>
                <w:spacing w:val="6"/>
              </w:rPr>
              <w:t>非经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8"/>
              </w:rPr>
              <w:t>营性占用</w:t>
            </w:r>
            <w:r>
              <w:rPr>
                <w:spacing w:val="8"/>
              </w:rPr>
              <w:t>上市公司资金。</w:t>
            </w:r>
          </w:p>
        </w:tc>
      </w:tr>
      <w:tr>
        <w:trPr>
          <w:trHeight w:val="722" w:hRule="atLeast"/>
        </w:trPr>
        <w:tc>
          <w:tcPr>
            <w:tcW w:w="1262" w:type="dxa"/>
            <w:vAlign w:val="top"/>
          </w:tcPr>
          <w:p>
            <w:pPr>
              <w:pStyle w:val="TableText"/>
              <w:ind w:left="263"/>
              <w:spacing w:before="105" w:line="178" w:lineRule="auto"/>
              <w:rPr/>
            </w:pPr>
            <w:r>
              <w:rPr>
                <w:spacing w:val="3"/>
              </w:rPr>
              <w:t>600539</w:t>
            </w:r>
          </w:p>
        </w:tc>
        <w:tc>
          <w:tcPr>
            <w:tcW w:w="1203" w:type="dxa"/>
            <w:vAlign w:val="top"/>
          </w:tcPr>
          <w:p>
            <w:pPr>
              <w:pStyle w:val="TableText"/>
              <w:ind w:left="172"/>
              <w:spacing w:before="91" w:line="188" w:lineRule="auto"/>
              <w:rPr/>
            </w:pPr>
            <w:r>
              <w:rPr>
                <w:spacing w:val="8"/>
              </w:rPr>
              <w:t>狮头股份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ind w:left="226"/>
              <w:spacing w:before="90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4935" w:type="dxa"/>
            <w:vAlign w:val="top"/>
          </w:tcPr>
          <w:p>
            <w:pPr>
              <w:pStyle w:val="TableText"/>
              <w:ind w:left="3" w:right="89"/>
              <w:spacing w:before="88" w:line="218" w:lineRule="auto"/>
              <w:rPr/>
            </w:pPr>
            <w:r>
              <w:rPr>
                <w:spacing w:val="7"/>
              </w:rPr>
              <w:t>公司时任董事兼总裁未按计划实施增持行为， 与</w:t>
            </w:r>
            <w:r>
              <w:rPr>
                <w:spacing w:val="6"/>
              </w:rPr>
              <w:t>其前</w:t>
            </w:r>
            <w:r>
              <w:rPr/>
              <w:t xml:space="preserve"> </w:t>
            </w:r>
            <w:r>
              <w:rPr>
                <w:spacing w:val="8"/>
              </w:rPr>
              <w:t>期披露的</w:t>
            </w:r>
            <w:r>
              <w:rPr>
                <w:b/>
                <w:bCs/>
                <w:spacing w:val="8"/>
              </w:rPr>
              <w:t>增持计划不一致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372" w:hRule="atLeast"/>
        </w:trPr>
        <w:tc>
          <w:tcPr>
            <w:shd w:val="clear" w:fill="F2DCDC"/>
            <w:tcW w:w="1262" w:type="dxa"/>
            <w:vAlign w:val="top"/>
          </w:tcPr>
          <w:p>
            <w:pPr>
              <w:pStyle w:val="TableText"/>
              <w:ind w:left="263"/>
              <w:spacing w:before="108" w:line="177" w:lineRule="auto"/>
              <w:rPr/>
            </w:pPr>
            <w:r>
              <w:rPr>
                <w:spacing w:val="3"/>
              </w:rPr>
              <w:t>601686</w:t>
            </w:r>
          </w:p>
        </w:tc>
        <w:tc>
          <w:tcPr>
            <w:shd w:val="clear" w:fill="F2DCDC"/>
            <w:tcW w:w="1203" w:type="dxa"/>
            <w:vAlign w:val="top"/>
          </w:tcPr>
          <w:p>
            <w:pPr>
              <w:pStyle w:val="TableText"/>
              <w:ind w:left="172"/>
              <w:spacing w:before="94" w:line="187" w:lineRule="auto"/>
              <w:rPr/>
            </w:pPr>
            <w:r>
              <w:rPr>
                <w:spacing w:val="8"/>
              </w:rPr>
              <w:t>友发集团</w:t>
            </w:r>
          </w:p>
        </w:tc>
        <w:tc>
          <w:tcPr>
            <w:shd w:val="clear" w:fill="F2DCDC"/>
            <w:tcW w:w="1306" w:type="dxa"/>
            <w:vAlign w:val="top"/>
          </w:tcPr>
          <w:p>
            <w:pPr>
              <w:pStyle w:val="TableText"/>
              <w:ind w:left="226"/>
              <w:spacing w:before="94" w:line="187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4935" w:type="dxa"/>
            <w:vAlign w:val="top"/>
          </w:tcPr>
          <w:p>
            <w:pPr>
              <w:pStyle w:val="TableText"/>
              <w:ind w:left="5"/>
              <w:spacing w:before="94" w:line="187" w:lineRule="auto"/>
              <w:rPr/>
            </w:pPr>
            <w:r>
              <w:rPr>
                <w:spacing w:val="8"/>
              </w:rPr>
              <w:t>监事配偶</w:t>
            </w:r>
            <w:r>
              <w:rPr>
                <w:b/>
                <w:bCs/>
                <w:spacing w:val="8"/>
              </w:rPr>
              <w:t>短线交易</w:t>
            </w:r>
            <w:r>
              <w:rPr>
                <w:spacing w:val="8"/>
              </w:rPr>
              <w:t>。</w:t>
            </w:r>
          </w:p>
        </w:tc>
      </w:tr>
    </w:tbl>
    <w:p>
      <w:pPr>
        <w:pStyle w:val="BodyText"/>
        <w:rPr/>
      </w:pPr>
      <w:r/>
    </w:p>
    <w:p>
      <w:pPr>
        <w:sectPr>
          <w:headerReference w:type="default" r:id="rId9"/>
          <w:pgSz w:w="11906" w:h="16838"/>
          <w:pgMar w:top="313" w:right="56" w:bottom="0" w:left="9" w:header="0" w:footer="0" w:gutter="0"/>
        </w:sectPr>
        <w:rPr/>
      </w:pPr>
    </w:p>
    <w:tbl>
      <w:tblPr>
        <w:tblStyle w:val="TableNormal"/>
        <w:tblW w:w="8706" w:type="dxa"/>
        <w:tblInd w:w="1223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62"/>
        <w:gridCol w:w="1203"/>
        <w:gridCol w:w="1306"/>
        <w:gridCol w:w="4935"/>
      </w:tblGrid>
      <w:tr>
        <w:trPr>
          <w:trHeight w:val="1465" w:hRule="atLeast"/>
        </w:trPr>
        <w:tc>
          <w:tcPr>
            <w:tcW w:w="1262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63"/>
              <w:spacing w:before="115" w:line="178" w:lineRule="auto"/>
              <w:rPr/>
            </w:pPr>
            <w:r>
              <w:rPr>
                <w:spacing w:val="3"/>
              </w:rPr>
              <w:t>600846</w:t>
            </w:r>
          </w:p>
        </w:tc>
        <w:tc>
          <w:tcPr>
            <w:tcW w:w="120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87"/>
              <w:spacing w:before="100" w:line="189" w:lineRule="auto"/>
              <w:rPr/>
            </w:pPr>
            <w:r>
              <w:rPr>
                <w:spacing w:val="5"/>
              </w:rPr>
              <w:t>同济科技</w:t>
            </w:r>
          </w:p>
        </w:tc>
        <w:tc>
          <w:tcPr>
            <w:tcW w:w="130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26"/>
              <w:spacing w:before="100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4935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4" w:right="89" w:firstLine="1"/>
              <w:spacing w:before="59" w:line="244" w:lineRule="auto"/>
              <w:rPr/>
            </w:pPr>
            <w:r>
              <w:rPr>
                <w:b/>
                <w:bCs/>
                <w:spacing w:val="9"/>
              </w:rPr>
              <w:t>公司章程</w:t>
            </w:r>
            <w:r>
              <w:rPr>
                <w:spacing w:val="9"/>
              </w:rPr>
              <w:t>中关于股东提名董事的规定不符合《上市公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6"/>
              </w:rPr>
              <w:t>司股东大会规则》的相关规定； </w:t>
            </w:r>
            <w:r>
              <w:rPr>
                <w:b/>
                <w:bCs/>
                <w:spacing w:val="6"/>
              </w:rPr>
              <w:t>部分制度</w:t>
            </w:r>
            <w:r>
              <w:rPr>
                <w:spacing w:val="6"/>
              </w:rPr>
              <w:t>存在不合</w:t>
            </w:r>
            <w:r>
              <w:rPr>
                <w:spacing w:val="4"/>
              </w:rPr>
              <w:t xml:space="preserve">    </w:t>
            </w:r>
            <w:r>
              <w:rPr>
                <w:spacing w:val="4"/>
              </w:rPr>
              <w:t>规； 未按规定填写</w:t>
            </w:r>
            <w:r>
              <w:rPr>
                <w:b/>
                <w:bCs/>
                <w:spacing w:val="4"/>
              </w:rPr>
              <w:t>内幕信息知情人档案</w:t>
            </w:r>
            <w:r>
              <w:rPr>
                <w:spacing w:val="4"/>
              </w:rPr>
              <w:t>； 部分董事未 </w:t>
            </w:r>
            <w:r>
              <w:rPr>
                <w:spacing w:val="8"/>
              </w:rPr>
              <w:t>按规定</w:t>
            </w:r>
            <w:r>
              <w:rPr>
                <w:b/>
                <w:bCs/>
                <w:spacing w:val="8"/>
              </w:rPr>
              <w:t>出席股东大会</w:t>
            </w:r>
            <w:r>
              <w:rPr>
                <w:spacing w:val="8"/>
              </w:rPr>
              <w:t>的情形。</w:t>
            </w:r>
          </w:p>
        </w:tc>
      </w:tr>
      <w:tr>
        <w:trPr>
          <w:trHeight w:val="1445" w:hRule="atLeast"/>
        </w:trPr>
        <w:tc>
          <w:tcPr>
            <w:shd w:val="clear" w:fill="F2DCDC"/>
            <w:tcW w:w="1262" w:type="dxa"/>
            <w:vAlign w:val="top"/>
          </w:tcPr>
          <w:p>
            <w:pPr>
              <w:pStyle w:val="TableText"/>
              <w:ind w:left="263"/>
              <w:spacing w:before="93" w:line="179" w:lineRule="auto"/>
              <w:rPr/>
            </w:pPr>
            <w:r>
              <w:rPr>
                <w:spacing w:val="3"/>
              </w:rPr>
              <w:t>688151</w:t>
            </w:r>
          </w:p>
        </w:tc>
        <w:tc>
          <w:tcPr>
            <w:shd w:val="clear" w:fill="F2DCDC"/>
            <w:tcW w:w="1203" w:type="dxa"/>
            <w:vAlign w:val="top"/>
          </w:tcPr>
          <w:p>
            <w:pPr>
              <w:pStyle w:val="TableText"/>
              <w:ind w:left="174"/>
              <w:spacing w:before="80" w:line="189" w:lineRule="auto"/>
              <w:rPr/>
            </w:pPr>
            <w:r>
              <w:rPr>
                <w:spacing w:val="8"/>
              </w:rPr>
              <w:t>华强科技</w:t>
            </w:r>
          </w:p>
        </w:tc>
        <w:tc>
          <w:tcPr>
            <w:shd w:val="clear" w:fill="F2DCDC"/>
            <w:tcW w:w="1306" w:type="dxa"/>
            <w:vAlign w:val="top"/>
          </w:tcPr>
          <w:p>
            <w:pPr>
              <w:pStyle w:val="TableText"/>
              <w:ind w:left="226"/>
              <w:spacing w:before="80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4935" w:type="dxa"/>
            <w:vAlign w:val="top"/>
          </w:tcPr>
          <w:p>
            <w:pPr>
              <w:pStyle w:val="TableText"/>
              <w:ind w:left="3" w:right="20"/>
              <w:spacing w:before="39" w:line="244" w:lineRule="auto"/>
              <w:rPr/>
            </w:pPr>
            <w:r>
              <w:rPr>
                <w:spacing w:val="4"/>
              </w:rPr>
              <w:t>大信会计师事务所 （特殊普通合伙） 作为湖北华强科</w:t>
            </w:r>
            <w:r>
              <w:rPr>
                <w:spacing w:val="3"/>
              </w:rPr>
              <w:t xml:space="preserve">  </w:t>
            </w:r>
            <w:r>
              <w:rPr>
                <w:spacing w:val="6"/>
              </w:rPr>
              <w:t>技股份有限公司</w:t>
            </w:r>
            <w:r>
              <w:rPr>
                <w:b/>
                <w:bCs/>
                <w:spacing w:val="6"/>
              </w:rPr>
              <w:t>2022年度审计机构</w:t>
            </w:r>
            <w:r>
              <w:rPr>
                <w:spacing w:val="6"/>
              </w:rPr>
              <w:t>， 注册会计师作</w:t>
            </w:r>
            <w:r>
              <w:rPr>
                <w:spacing w:val="2"/>
              </w:rPr>
              <w:t xml:space="preserve">    </w:t>
            </w:r>
            <w:r>
              <w:rPr>
                <w:spacing w:val="6"/>
              </w:rPr>
              <w:t>为公司2022年年度报告审计注册会计师， 存在审计职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责履行不到位的情形。</w:t>
            </w:r>
          </w:p>
        </w:tc>
      </w:tr>
      <w:tr>
        <w:trPr>
          <w:trHeight w:val="1078" w:hRule="atLeast"/>
        </w:trPr>
        <w:tc>
          <w:tcPr>
            <w:tcW w:w="1262" w:type="dxa"/>
            <w:vAlign w:val="top"/>
            <w:tcBorders>
              <w:bottom w:val="single" w:color="943734" w:sz="2" w:space="0"/>
            </w:tcBorders>
          </w:tcPr>
          <w:p>
            <w:pPr>
              <w:pStyle w:val="TableText"/>
              <w:ind w:left="263"/>
              <w:spacing w:before="96" w:line="178" w:lineRule="auto"/>
              <w:rPr/>
            </w:pPr>
            <w:r>
              <w:rPr>
                <w:spacing w:val="3"/>
              </w:rPr>
              <w:t>600699</w:t>
            </w:r>
          </w:p>
        </w:tc>
        <w:tc>
          <w:tcPr>
            <w:tcW w:w="1203" w:type="dxa"/>
            <w:vAlign w:val="top"/>
            <w:tcBorders>
              <w:bottom w:val="single" w:color="943734" w:sz="2" w:space="0"/>
            </w:tcBorders>
          </w:tcPr>
          <w:p>
            <w:pPr>
              <w:pStyle w:val="TableText"/>
              <w:ind w:left="172"/>
              <w:spacing w:before="82" w:line="188" w:lineRule="auto"/>
              <w:rPr/>
            </w:pPr>
            <w:r>
              <w:rPr>
                <w:spacing w:val="8"/>
              </w:rPr>
              <w:t>均胜电子</w:t>
            </w:r>
          </w:p>
        </w:tc>
        <w:tc>
          <w:tcPr>
            <w:tcW w:w="1306" w:type="dxa"/>
            <w:vAlign w:val="top"/>
            <w:tcBorders>
              <w:bottom w:val="single" w:color="943734" w:sz="2" w:space="0"/>
            </w:tcBorders>
          </w:tcPr>
          <w:p>
            <w:pPr>
              <w:pStyle w:val="TableText"/>
              <w:ind w:left="224"/>
              <w:spacing w:before="83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4935" w:type="dxa"/>
            <w:vAlign w:val="top"/>
            <w:tcBorders>
              <w:bottom w:val="single" w:color="943734" w:sz="2" w:space="0"/>
            </w:tcBorders>
          </w:tcPr>
          <w:p>
            <w:pPr>
              <w:pStyle w:val="TableText"/>
              <w:ind w:left="3" w:right="89"/>
              <w:spacing w:before="81" w:line="230" w:lineRule="auto"/>
              <w:jc w:val="both"/>
              <w:rPr/>
            </w:pPr>
            <w:r>
              <w:rPr>
                <w:spacing w:val="7"/>
              </w:rPr>
              <w:t>违规将</w:t>
            </w:r>
            <w:r>
              <w:rPr>
                <w:b/>
                <w:bCs/>
                <w:spacing w:val="7"/>
              </w:rPr>
              <w:t>募集资金</w:t>
            </w:r>
            <w:r>
              <w:rPr>
                <w:spacing w:val="7"/>
              </w:rPr>
              <w:t>划转至一般户； 未按规定</w:t>
            </w:r>
            <w:r>
              <w:rPr>
                <w:spacing w:val="6"/>
              </w:rPr>
              <w:t>用途使用募</w:t>
            </w:r>
            <w:r>
              <w:rPr/>
              <w:t xml:space="preserve"> </w:t>
            </w:r>
            <w:r>
              <w:rPr>
                <w:spacing w:val="7"/>
              </w:rPr>
              <w:t>集资金； 以自有资金代垫募投项目合作方应支付</w:t>
            </w:r>
            <w:r>
              <w:rPr>
                <w:spacing w:val="6"/>
              </w:rPr>
              <w:t>的募</w:t>
            </w:r>
            <w:r>
              <w:rPr/>
              <w:t xml:space="preserve"> </w:t>
            </w:r>
            <w:r>
              <w:rPr>
                <w:spacing w:val="6"/>
              </w:rPr>
              <w:t>集资金。</w:t>
            </w:r>
          </w:p>
        </w:tc>
      </w:tr>
      <w:tr>
        <w:trPr>
          <w:trHeight w:val="371" w:hRule="atLeast"/>
        </w:trPr>
        <w:tc>
          <w:tcPr>
            <w:shd w:val="clear" w:fill="F2DCDC"/>
            <w:tcW w:w="1262" w:type="dxa"/>
            <w:vAlign w:val="top"/>
            <w:tcBorders>
              <w:left w:val="single" w:color="943734" w:sz="2" w:space="0"/>
              <w:bottom w:val="single" w:color="943734" w:sz="2" w:space="0"/>
              <w:right w:val="single" w:color="943734" w:sz="2" w:space="0"/>
              <w:top w:val="single" w:color="943734" w:sz="2" w:space="0"/>
            </w:tcBorders>
          </w:tcPr>
          <w:p>
            <w:pPr>
              <w:pStyle w:val="TableText"/>
              <w:ind w:left="268"/>
              <w:spacing w:before="103" w:line="178" w:lineRule="auto"/>
              <w:rPr/>
            </w:pPr>
            <w:r>
              <w:rPr>
                <w:spacing w:val="3"/>
              </w:rPr>
              <w:t>603339</w:t>
            </w:r>
          </w:p>
        </w:tc>
        <w:tc>
          <w:tcPr>
            <w:shd w:val="clear" w:fill="F2DCDC"/>
            <w:tcW w:w="1203" w:type="dxa"/>
            <w:vAlign w:val="top"/>
            <w:tcBorders>
              <w:left w:val="single" w:color="943734" w:sz="2" w:space="0"/>
              <w:bottom w:val="single" w:color="943734" w:sz="2" w:space="0"/>
              <w:right w:val="single" w:color="943734" w:sz="2" w:space="0"/>
              <w:top w:val="single" w:color="943734" w:sz="2" w:space="0"/>
            </w:tcBorders>
          </w:tcPr>
          <w:p>
            <w:pPr>
              <w:pStyle w:val="TableText"/>
              <w:ind w:left="194"/>
              <w:spacing w:before="88" w:line="189" w:lineRule="auto"/>
              <w:rPr/>
            </w:pPr>
            <w:r>
              <w:rPr>
                <w:spacing w:val="4"/>
              </w:rPr>
              <w:t>四方科技</w:t>
            </w:r>
          </w:p>
        </w:tc>
        <w:tc>
          <w:tcPr>
            <w:shd w:val="clear" w:fill="F2DCDC"/>
            <w:tcW w:w="1306" w:type="dxa"/>
            <w:vAlign w:val="top"/>
            <w:tcBorders>
              <w:left w:val="single" w:color="943734" w:sz="2" w:space="0"/>
              <w:bottom w:val="single" w:color="943734" w:sz="2" w:space="0"/>
              <w:right w:val="single" w:color="943734" w:sz="2" w:space="0"/>
              <w:top w:val="single" w:color="943734" w:sz="2" w:space="0"/>
            </w:tcBorders>
          </w:tcPr>
          <w:p>
            <w:pPr>
              <w:pStyle w:val="TableText"/>
              <w:ind w:left="231"/>
              <w:spacing w:before="88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4935" w:type="dxa"/>
            <w:vAlign w:val="top"/>
            <w:tcBorders>
              <w:left w:val="single" w:color="943734" w:sz="2" w:space="0"/>
              <w:bottom w:val="single" w:color="943734" w:sz="2" w:space="0"/>
              <w:right w:val="single" w:color="943734" w:sz="2" w:space="0"/>
              <w:top w:val="single" w:color="943734" w:sz="2" w:space="0"/>
            </w:tcBorders>
          </w:tcPr>
          <w:p>
            <w:pPr>
              <w:pStyle w:val="TableText"/>
              <w:ind w:left="12"/>
              <w:spacing w:before="88" w:line="189" w:lineRule="auto"/>
              <w:rPr/>
            </w:pPr>
            <w:r>
              <w:rPr>
                <w:spacing w:val="8"/>
              </w:rPr>
              <w:t>时任副总经理配偶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</w:tbl>
    <w:p>
      <w:pPr>
        <w:ind w:left="310"/>
        <w:spacing w:before="130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</w:rPr>
        <w:t>（2） 问询函统计</w:t>
      </w:r>
    </w:p>
    <w:p>
      <w:pPr>
        <w:ind w:left="491"/>
        <w:spacing w:before="151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2024年8月12日-8月18日， 上交所官网未查询到监管问询函。</w:t>
      </w:r>
    </w:p>
    <w:p>
      <w:pPr>
        <w:ind w:left="530"/>
        <w:spacing w:before="302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2、市场交易监管动态</w:t>
      </w:r>
    </w:p>
    <w:p>
      <w:pPr>
        <w:ind w:firstLine="491"/>
        <w:spacing w:before="135" w:line="36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2024年8月12日-8月18日， 上交所对70起拉抬打压、虚假申报等证券异常交易行为采取了书面警示</w:t>
      </w:r>
      <w:r>
        <w:rPr>
          <w:rFonts w:ascii="Microsoft YaHei" w:hAnsi="Microsoft YaHei" w:eastAsia="Microsoft YaHei" w:cs="Microsoft YaHei"/>
          <w:sz w:val="24"/>
          <w:szCs w:val="24"/>
          <w:spacing w:val="1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等监管措施， 对9起上市公司重大事项等进行专项核查， 向证监会上报涉嫌违法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违规案件线索1起。</w:t>
      </w:r>
    </w:p>
    <w:p>
      <w:pPr>
        <w:spacing w:line="360" w:lineRule="auto"/>
        <w:sectPr>
          <w:headerReference w:type="default" r:id="rId2"/>
          <w:pgSz w:w="11906" w:h="16838"/>
          <w:pgMar w:top="400" w:right="555" w:bottom="0" w:left="439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firstLine="2"/>
        <w:spacing w:line="1140" w:lineRule="exact"/>
        <w:rPr/>
      </w:pPr>
      <w:r>
        <w:rPr>
          <w:position w:val="-22"/>
        </w:rPr>
        <w:pict>
          <v:group id="_x0000_s44" style="mso-position-vertical-relative:line;mso-position-horizontal-relative:char;width:67.95pt;height:57pt;" filled="false" stroked="false" coordsize="1358,1140" coordorigin="0,0">
            <v:shape id="_x0000_s46" style="position:absolute;left:0;top:0;width:1358;height:1140;" fillcolor="#A61C1F" filled="true" stroked="false" coordsize="1358,1140" coordorigin="0,0" path="m,l1358,0l1358,1140l0,1140l0,0xe"/>
            <v:shape id="_x0000_s48" style="position:absolute;left:240;top:115;width:819;height:913;" fillcolor="#FFFFFF" filled="true" stroked="false" coordsize="819,913" coordorigin="0,0" path="m595,777l225,777l213,772l213,732l225,724l595,724l604,732l604,772l595,777xm583,708l237,708l225,700l225,688l213,635l182,585l136,532l88,480l45,424l14,362l0,297l0,292l7,237l24,189l50,144l86,105l129,74l177,48l230,26l287,12l347,4l410,0l470,4l530,12l588,26l643,48l691,74l734,105l736,110l367,110l360,117l360,124l355,148l355,153l235,153l201,177l189,187l177,196l172,201l172,208l177,215l208,244l211,244l211,249l204,259l196,268l192,280l187,292l187,292l184,292l182,295l170,295l124,297l117,304l117,372l124,376l136,376l182,381l184,381l187,384l187,386l192,395l196,405l204,417l211,427l211,429l201,439l194,446l177,460l172,465l172,475l177,480l225,518l235,523l355,523l357,540l360,549l360,559l367,566l650,566l638,578l604,631l592,688l592,700l583,708xm525,184l525,182l499,172l484,168l470,165l468,165l468,163l465,160l465,148l463,136l463,124l460,117l453,110l736,110l770,144l775,153l588,153l576,153l566,158l530,182l530,182l525,184xm295,184l292,182l290,182l280,177l271,170l261,165l252,158l244,153l235,153l355,153l352,160l352,163l350,165l350,165l336,168l321,172l309,177l295,182l295,184xm686,523l588,523l648,475l645,465l640,460l626,446l619,439l609,429l609,429l612,427l616,417l621,405l628,395l633,386l633,384l636,381l638,381l684,376l693,376l705,372l705,304l693,297l684,297l650,295l638,295l636,292l633,292l633,292l628,280l621,268l616,259l612,249l609,249l609,244l612,244l640,215l645,208l648,201l640,196l628,187l616,177l592,158l588,153l775,153l796,189l813,237l818,292l818,297l806,362l775,422l729,477l686,523xm410,448l355,439l309,415l278,381l268,338l278,295l309,261l355,237l410,228l465,237l511,261l540,295l552,338l540,381l511,415l465,439l410,448xm355,523l244,523l252,515l261,511l271,506l280,501l290,494l292,492l295,492l309,499l321,504l336,506l350,508l352,513l352,515l355,523xm650,566l453,566l460,559l463,549l463,540l465,525l465,513l468,513l468,511l470,508l499,504l511,499l525,492l530,492l530,494l540,501l549,506l559,511l566,515l576,523l686,523l681,528l650,566xm561,912l259,912l249,907l249,866l259,859l561,859l571,866l571,907l561,912xm583,844l237,844l227,840l227,796l237,792l583,792l592,796l592,840l583,844x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4" w:line="186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监管动态</w:t>
      </w:r>
    </w:p>
    <w:p>
      <w:pPr>
        <w:spacing w:line="186" w:lineRule="auto"/>
        <w:sectPr>
          <w:pgSz w:w="11906" w:h="16838"/>
          <w:pgMar w:top="7" w:right="56" w:bottom="0" w:left="7" w:header="0" w:footer="0" w:gutter="0"/>
          <w:cols w:equalWidth="0" w:num="2">
            <w:col w:w="1559" w:space="100"/>
            <w:col w:w="10184" w:space="0"/>
          </w:cols>
        </w:sectPr>
        <w:rPr>
          <w:rFonts w:ascii="Microsoft YaHei" w:hAnsi="Microsoft YaHei" w:eastAsia="Microsoft YaHei" w:cs="Microsoft YaHei"/>
          <w:sz w:val="43"/>
          <w:szCs w:val="43"/>
        </w:rPr>
      </w:pPr>
    </w:p>
    <w:p>
      <w:pPr>
        <w:pStyle w:val="BodyText"/>
        <w:spacing w:line="384" w:lineRule="auto"/>
        <w:rPr/>
      </w:pPr>
      <w:r>
        <w:pict>
          <v:shape id="_x0000_s50" style="position:absolute;margin-left:67.74pt;margin-top:-1.44pt;mso-position-vertical-relative:text;mso-position-horizontal-relative:text;width:525.6pt;height:2.55pt;z-index:251686912;" filled="false" strokecolor="#A61C1F" strokeweight="2.52pt" coordsize="10511,50" coordorigin="0,0" path="m0,25l10511,25e">
            <v:stroke miterlimit="10"/>
          </v:shape>
        </w:pict>
      </w:r>
      <w:r/>
    </w:p>
    <w:p>
      <w:pPr>
        <w:spacing w:line="924" w:lineRule="exact"/>
        <w:rPr/>
      </w:pPr>
      <w:r>
        <w:rPr>
          <w:position w:val="-18"/>
        </w:rPr>
        <w:pict>
          <v:group id="_x0000_s52" style="mso-position-vertical-relative:line;mso-position-horizontal-relative:char;width:134.8pt;height:46.25pt;" filled="false" stroked="false" coordsize="2696,925" coordorigin="0,0">
            <v:shape id="_x0000_s54" style="position:absolute;left:0;top:0;width:2696;height:925;" filled="false" stroked="false" type="#_x0000_t75">
              <v:imagedata o:title="" r:id="rId10"/>
            </v:shape>
            <v:shape id="_x0000_s56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66"/>
                      <w:spacing w:before="281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22" w:lineRule="auto"/>
        <w:rPr/>
      </w:pPr>
      <w:r/>
    </w:p>
    <w:p>
      <w:pPr>
        <w:ind w:left="893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6"/>
        </w:rPr>
        <w:t>1、上市公司监管动态</w:t>
      </w:r>
    </w:p>
    <w:p>
      <w:pPr>
        <w:ind w:left="923"/>
        <w:spacing w:before="17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2024年8月12日-8月18日， 深交所发出6份监管函， 5份纪律处分措施。</w:t>
      </w:r>
    </w:p>
    <w:p>
      <w:pPr>
        <w:pStyle w:val="BodyText"/>
        <w:spacing w:line="415" w:lineRule="auto"/>
        <w:rPr/>
      </w:pPr>
      <w:r/>
    </w:p>
    <w:p>
      <w:pPr>
        <w:ind w:firstLine="1272"/>
        <w:spacing w:line="4433" w:lineRule="exact"/>
        <w:rPr/>
      </w:pPr>
      <w:r>
        <w:rPr>
          <w:position w:val="-88"/>
        </w:rPr>
        <w:drawing>
          <wp:inline distT="0" distB="0" distL="0" distR="0">
            <wp:extent cx="5811012" cy="2814828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11012" cy="2814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42"/>
        <w:spacing w:before="341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8"/>
        </w:rPr>
        <w:t>（1） 纪律处分及监管措施</w:t>
      </w:r>
    </w:p>
    <w:p>
      <w:pPr>
        <w:spacing w:line="172" w:lineRule="exact"/>
        <w:rPr/>
      </w:pPr>
      <w:r/>
    </w:p>
    <w:tbl>
      <w:tblPr>
        <w:tblStyle w:val="TableNormal"/>
        <w:tblW w:w="8707" w:type="dxa"/>
        <w:tblInd w:w="1492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25"/>
        <w:gridCol w:w="1434"/>
        <w:gridCol w:w="1449"/>
        <w:gridCol w:w="4399"/>
      </w:tblGrid>
      <w:tr>
        <w:trPr>
          <w:trHeight w:val="645" w:hRule="atLeast"/>
        </w:trPr>
        <w:tc>
          <w:tcPr>
            <w:shd w:val="clear" w:fill="4BACC6"/>
            <w:tcW w:w="1425" w:type="dxa"/>
            <w:vAlign w:val="top"/>
          </w:tcPr>
          <w:p>
            <w:pPr>
              <w:pStyle w:val="TableText"/>
              <w:ind w:left="273"/>
              <w:spacing w:before="96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434" w:type="dxa"/>
            <w:vAlign w:val="top"/>
            <w:tcBorders>
              <w:top w:val="nil"/>
            </w:tcBorders>
          </w:tcPr>
          <w:p>
            <w:pPr>
              <w:pStyle w:val="TableText"/>
              <w:ind w:left="276"/>
              <w:spacing w:before="96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449" w:type="dxa"/>
            <w:vAlign w:val="top"/>
            <w:tcBorders>
              <w:top w:val="nil"/>
            </w:tcBorders>
          </w:tcPr>
          <w:p>
            <w:pPr>
              <w:pStyle w:val="TableText"/>
              <w:ind w:left="285"/>
              <w:spacing w:before="96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399" w:type="dxa"/>
            <w:vAlign w:val="top"/>
            <w:tcBorders>
              <w:top w:val="nil"/>
            </w:tcBorders>
          </w:tcPr>
          <w:p>
            <w:pPr>
              <w:pStyle w:val="TableText"/>
              <w:ind w:left="1755"/>
              <w:spacing w:before="96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处理事由</w:t>
            </w:r>
          </w:p>
        </w:tc>
      </w:tr>
      <w:tr>
        <w:trPr>
          <w:trHeight w:val="1443" w:hRule="atLeast"/>
        </w:trPr>
        <w:tc>
          <w:tcPr>
            <w:shd w:val="clear" w:fill="C7DAF1"/>
            <w:tcW w:w="142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86" w:line="179" w:lineRule="auto"/>
              <w:rPr/>
            </w:pPr>
            <w:r>
              <w:rPr>
                <w:spacing w:val="2"/>
              </w:rPr>
              <w:t>300231</w:t>
            </w:r>
          </w:p>
        </w:tc>
        <w:tc>
          <w:tcPr>
            <w:shd w:val="clear" w:fill="C7DAF1"/>
            <w:tcW w:w="143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2"/>
              <w:spacing w:before="86" w:line="189" w:lineRule="auto"/>
              <w:rPr/>
            </w:pPr>
            <w:r>
              <w:rPr>
                <w:spacing w:val="8"/>
              </w:rPr>
              <w:t>银信科技</w:t>
            </w:r>
          </w:p>
        </w:tc>
        <w:tc>
          <w:tcPr>
            <w:shd w:val="clear" w:fill="C7DAF1"/>
            <w:tcW w:w="144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C7DAF1"/>
            <w:tcW w:w="4399" w:type="dxa"/>
            <w:vAlign w:val="top"/>
          </w:tcPr>
          <w:p>
            <w:pPr>
              <w:pStyle w:val="TableText"/>
              <w:ind w:left="107" w:right="177"/>
              <w:spacing w:before="83" w:line="236" w:lineRule="auto"/>
              <w:rPr/>
            </w:pPr>
            <w:r>
              <w:rPr>
                <w:spacing w:val="9"/>
              </w:rPr>
              <w:t>公司未在</w:t>
            </w:r>
            <w:r>
              <w:rPr>
                <w:b/>
                <w:bCs/>
                <w:spacing w:val="9"/>
              </w:rPr>
              <w:t>预计触发转股价格修正条件</w:t>
            </w:r>
            <w:r>
              <w:rPr>
                <w:spacing w:val="9"/>
              </w:rPr>
              <w:t>的5个交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</w:rPr>
              <w:t>易日前披露提示性公告， 亦未在触发转股价</w:t>
            </w:r>
            <w:r>
              <w:rPr>
                <w:spacing w:val="1"/>
              </w:rPr>
              <w:t xml:space="preserve">   </w:t>
            </w:r>
            <w:r>
              <w:rPr>
                <w:spacing w:val="9"/>
              </w:rPr>
              <w:t>格修正条件当日召开董事会审议决定是否修</w:t>
            </w:r>
            <w:r>
              <w:rPr>
                <w:spacing w:val="4"/>
              </w:rPr>
              <w:t xml:space="preserve">   </w:t>
            </w:r>
            <w:r>
              <w:rPr>
                <w:spacing w:val="7"/>
              </w:rPr>
              <w:t>正转股价格。</w:t>
            </w:r>
          </w:p>
        </w:tc>
      </w:tr>
      <w:tr>
        <w:trPr>
          <w:trHeight w:val="611" w:hRule="atLeast"/>
        </w:trPr>
        <w:tc>
          <w:tcPr>
            <w:tcW w:w="1425" w:type="dxa"/>
            <w:vAlign w:val="top"/>
          </w:tcPr>
          <w:p>
            <w:pPr>
              <w:pStyle w:val="TableText"/>
              <w:ind w:left="352"/>
              <w:spacing w:before="221" w:line="179" w:lineRule="auto"/>
              <w:rPr/>
            </w:pPr>
            <w:r>
              <w:rPr>
                <w:spacing w:val="2"/>
              </w:rPr>
              <w:t>300421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ind w:left="295"/>
              <w:spacing w:before="209" w:line="188" w:lineRule="auto"/>
              <w:rPr/>
            </w:pPr>
            <w:r>
              <w:rPr>
                <w:spacing w:val="8"/>
              </w:rPr>
              <w:t>力星股份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ind w:left="411"/>
              <w:spacing w:before="207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399" w:type="dxa"/>
            <w:vAlign w:val="top"/>
          </w:tcPr>
          <w:p>
            <w:pPr>
              <w:pStyle w:val="TableText"/>
              <w:ind w:left="109"/>
              <w:spacing w:before="207" w:line="189" w:lineRule="auto"/>
              <w:rPr/>
            </w:pPr>
            <w:r>
              <w:rPr>
                <w:spacing w:val="8"/>
              </w:rPr>
              <w:t>监事亲属</w:t>
            </w:r>
            <w:r>
              <w:rPr>
                <w:b/>
                <w:bCs/>
                <w:spacing w:val="8"/>
              </w:rPr>
              <w:t>短线交易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1805" w:hRule="atLeast"/>
        </w:trPr>
        <w:tc>
          <w:tcPr>
            <w:shd w:val="clear" w:fill="C7DAF1"/>
            <w:tcW w:w="142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85" w:line="179" w:lineRule="auto"/>
              <w:rPr/>
            </w:pPr>
            <w:r>
              <w:rPr>
                <w:spacing w:val="2"/>
              </w:rPr>
              <w:t>300157</w:t>
            </w:r>
          </w:p>
        </w:tc>
        <w:tc>
          <w:tcPr>
            <w:shd w:val="clear" w:fill="C7DAF1"/>
            <w:tcW w:w="143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3"/>
              <w:spacing w:before="86" w:line="189" w:lineRule="auto"/>
              <w:rPr/>
            </w:pPr>
            <w:r>
              <w:rPr>
                <w:spacing w:val="8"/>
              </w:rPr>
              <w:t>新锦动力</w:t>
            </w:r>
          </w:p>
        </w:tc>
        <w:tc>
          <w:tcPr>
            <w:shd w:val="clear" w:fill="C7DAF1"/>
            <w:tcW w:w="1449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C7DAF1"/>
            <w:tcW w:w="4399" w:type="dxa"/>
            <w:vAlign w:val="top"/>
          </w:tcPr>
          <w:p>
            <w:pPr>
              <w:pStyle w:val="TableText"/>
              <w:ind w:left="108" w:right="201"/>
              <w:spacing w:before="43" w:line="245" w:lineRule="auto"/>
              <w:jc w:val="both"/>
              <w:rPr/>
            </w:pPr>
            <w:r>
              <w:rPr>
                <w:spacing w:val="6"/>
              </w:rPr>
              <w:t>持有新锦动力5%以上股份的股东， 在</w:t>
            </w:r>
            <w:r>
              <w:rPr>
                <w:b/>
                <w:bCs/>
                <w:spacing w:val="6"/>
              </w:rPr>
              <w:t>《表决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6"/>
              </w:rPr>
              <w:t>权委托协议》到期</w:t>
            </w:r>
            <w:r>
              <w:rPr>
                <w:spacing w:val="6"/>
              </w:rPr>
              <w:t>后， 未能及时按照《证券</w:t>
            </w:r>
            <w:r>
              <w:rPr>
                <w:spacing w:val="2"/>
              </w:rPr>
              <w:t xml:space="preserve">   </w:t>
            </w:r>
            <w:r>
              <w:rPr>
                <w:spacing w:val="9"/>
              </w:rPr>
              <w:t>法》《上市公司收购管理办法》等履行权益</w:t>
            </w:r>
            <w:r>
              <w:rPr>
                <w:spacing w:val="4"/>
              </w:rPr>
              <w:t xml:space="preserve">   </w:t>
            </w:r>
            <w:r>
              <w:rPr>
                <w:spacing w:val="5"/>
              </w:rPr>
              <w:t>变动相关报告、公告义务， 直至2024年8月   </w:t>
            </w:r>
            <w:r>
              <w:rPr>
                <w:spacing w:val="7"/>
              </w:rPr>
              <w:t>16日才补充履行。</w:t>
            </w:r>
          </w:p>
        </w:tc>
      </w:tr>
      <w:tr>
        <w:trPr>
          <w:trHeight w:val="1803" w:hRule="atLeast"/>
        </w:trPr>
        <w:tc>
          <w:tcPr>
            <w:tcW w:w="142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86" w:line="178" w:lineRule="auto"/>
              <w:rPr/>
            </w:pPr>
            <w:r>
              <w:rPr>
                <w:spacing w:val="2"/>
              </w:rPr>
              <w:t>300635</w:t>
            </w:r>
          </w:p>
        </w:tc>
        <w:tc>
          <w:tcPr>
            <w:tcW w:w="1434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"/>
              <w:spacing w:before="85" w:line="190" w:lineRule="auto"/>
              <w:rPr/>
            </w:pPr>
            <w:r>
              <w:rPr>
                <w:spacing w:val="3"/>
              </w:rPr>
              <w:t>中达安</w:t>
            </w:r>
          </w:p>
        </w:tc>
        <w:tc>
          <w:tcPr>
            <w:tcW w:w="144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1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399" w:type="dxa"/>
            <w:vAlign w:val="top"/>
          </w:tcPr>
          <w:p>
            <w:pPr>
              <w:pStyle w:val="TableText"/>
              <w:ind w:left="117"/>
              <w:spacing w:before="86" w:line="190" w:lineRule="auto"/>
              <w:rPr/>
            </w:pPr>
            <w:r>
              <w:rPr>
                <w:spacing w:val="4"/>
              </w:rPr>
              <w:t>2022年及2023年存在</w:t>
            </w:r>
            <w:r>
              <w:rPr>
                <w:b/>
                <w:bCs/>
                <w:spacing w:val="4"/>
              </w:rPr>
              <w:t>会计差错</w:t>
            </w:r>
            <w:r>
              <w:rPr>
                <w:spacing w:val="4"/>
              </w:rPr>
              <w:t>； 公司</w:t>
            </w:r>
          </w:p>
          <w:p>
            <w:pPr>
              <w:pStyle w:val="TableText"/>
              <w:ind w:left="107" w:right="227"/>
              <w:spacing w:before="50" w:line="242" w:lineRule="auto"/>
              <w:rPr/>
            </w:pPr>
            <w:r>
              <w:rPr>
                <w:spacing w:val="7"/>
              </w:rPr>
              <w:t>《</w:t>
            </w:r>
            <w:r>
              <w:rPr>
                <w:spacing w:val="-18"/>
              </w:rPr>
              <w:t xml:space="preserve"> </w:t>
            </w:r>
            <w:r>
              <w:rPr>
                <w:spacing w:val="7"/>
              </w:rPr>
              <w:t>2023年度业绩预告》披露的净利润、扣非</w:t>
            </w:r>
            <w:r>
              <w:rPr/>
              <w:t xml:space="preserve"> </w:t>
            </w:r>
            <w:r>
              <w:rPr>
                <w:spacing w:val="9"/>
              </w:rPr>
              <w:t>净利润与2023年度经审计的净利润、扣非净</w:t>
            </w:r>
            <w:r>
              <w:rPr/>
              <w:t xml:space="preserve"> </w:t>
            </w:r>
            <w:r>
              <w:rPr>
                <w:spacing w:val="5"/>
              </w:rPr>
              <w:t>利润</w:t>
            </w:r>
            <w:r>
              <w:rPr>
                <w:b/>
                <w:bCs/>
                <w:spacing w:val="5"/>
              </w:rPr>
              <w:t>差异较大</w:t>
            </w:r>
            <w:r>
              <w:rPr>
                <w:spacing w:val="5"/>
              </w:rPr>
              <w:t>；</w:t>
            </w:r>
            <w:r>
              <w:rPr>
                <w:spacing w:val="31"/>
              </w:rPr>
              <w:t xml:space="preserve"> </w:t>
            </w:r>
            <w:r>
              <w:rPr>
                <w:b/>
                <w:bCs/>
                <w:spacing w:val="5"/>
              </w:rPr>
              <w:t>日常关联交易</w:t>
            </w:r>
            <w:r>
              <w:rPr>
                <w:spacing w:val="5"/>
              </w:rPr>
              <w:t>未及时履行审</w:t>
            </w:r>
            <w:r>
              <w:rPr/>
              <w:t xml:space="preserve">  </w:t>
            </w:r>
            <w:r>
              <w:rPr>
                <w:spacing w:val="8"/>
              </w:rPr>
              <w:t>议程序和披露义务。</w:t>
            </w:r>
          </w:p>
        </w:tc>
      </w:tr>
      <w:tr>
        <w:trPr>
          <w:trHeight w:val="729" w:hRule="atLeast"/>
        </w:trPr>
        <w:tc>
          <w:tcPr>
            <w:shd w:val="clear" w:fill="C7DAF1"/>
            <w:tcW w:w="1425" w:type="dxa"/>
            <w:vAlign w:val="top"/>
          </w:tcPr>
          <w:p>
            <w:pPr>
              <w:pStyle w:val="TableText"/>
              <w:ind w:left="352"/>
              <w:spacing w:before="282" w:line="179" w:lineRule="auto"/>
              <w:rPr/>
            </w:pPr>
            <w:r>
              <w:rPr>
                <w:spacing w:val="2"/>
              </w:rPr>
              <w:t>301379</w:t>
            </w:r>
          </w:p>
        </w:tc>
        <w:tc>
          <w:tcPr>
            <w:shd w:val="clear" w:fill="C7DAF1"/>
            <w:tcW w:w="1434" w:type="dxa"/>
            <w:vAlign w:val="top"/>
          </w:tcPr>
          <w:p>
            <w:pPr>
              <w:pStyle w:val="TableText"/>
              <w:ind w:left="293"/>
              <w:spacing w:before="270" w:line="188" w:lineRule="auto"/>
              <w:rPr/>
            </w:pPr>
            <w:r>
              <w:rPr>
                <w:spacing w:val="8"/>
              </w:rPr>
              <w:t>天山电子</w:t>
            </w:r>
          </w:p>
        </w:tc>
        <w:tc>
          <w:tcPr>
            <w:shd w:val="clear" w:fill="C7DAF1"/>
            <w:tcW w:w="1449" w:type="dxa"/>
            <w:vAlign w:val="top"/>
          </w:tcPr>
          <w:p>
            <w:pPr>
              <w:pStyle w:val="TableText"/>
              <w:ind w:left="411"/>
              <w:spacing w:before="269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C7DAF1"/>
            <w:tcW w:w="4399" w:type="dxa"/>
            <w:vAlign w:val="top"/>
          </w:tcPr>
          <w:p>
            <w:pPr>
              <w:pStyle w:val="TableText"/>
              <w:ind w:left="117" w:right="150" w:hanging="9"/>
              <w:spacing w:before="52" w:line="233" w:lineRule="auto"/>
              <w:rPr/>
            </w:pPr>
            <w:r>
              <w:rPr>
                <w:spacing w:val="9"/>
              </w:rPr>
              <w:t>持股5%以上股东及一致行动人</w:t>
            </w:r>
            <w:r>
              <w:rPr>
                <w:b/>
                <w:bCs/>
                <w:spacing w:val="9"/>
              </w:rPr>
              <w:t>连续90日内集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9"/>
              </w:rPr>
              <w:t>中竞价</w:t>
            </w:r>
            <w:r>
              <w:rPr>
                <w:spacing w:val="9"/>
              </w:rPr>
              <w:t>交易减持股份总数超过天山电子股份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906" w:h="16838"/>
          <w:pgMar w:top="7" w:right="56" w:bottom="0" w:left="7" w:header="0" w:footer="0" w:gutter="0"/>
          <w:cols w:equalWidth="0" w:num="1">
            <w:col w:w="11842" w:space="0"/>
          </w:cols>
        </w:sectPr>
        <w:rPr>
          <w:sz w:val="2"/>
          <w:szCs w:val="2"/>
        </w:rPr>
      </w:pPr>
    </w:p>
    <w:tbl>
      <w:tblPr>
        <w:tblStyle w:val="TableNormal"/>
        <w:tblW w:w="8707" w:type="dxa"/>
        <w:tblInd w:w="1061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25"/>
        <w:gridCol w:w="1434"/>
        <w:gridCol w:w="1449"/>
        <w:gridCol w:w="4399"/>
      </w:tblGrid>
      <w:tr>
        <w:trPr>
          <w:trHeight w:val="616" w:hRule="atLeast"/>
        </w:trPr>
        <w:tc>
          <w:tcPr>
            <w:shd w:val="clear" w:fill="C7DAF1"/>
            <w:tcW w:w="14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C7DAF1"/>
            <w:tcW w:w="14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C7DAF1"/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C7DAF1"/>
            <w:tcW w:w="4399" w:type="dxa"/>
            <w:vAlign w:val="top"/>
          </w:tcPr>
          <w:p>
            <w:pPr>
              <w:pStyle w:val="TableText"/>
              <w:ind w:left="108"/>
              <w:spacing w:before="44" w:line="237" w:lineRule="auto"/>
              <w:rPr/>
            </w:pPr>
            <w:r>
              <w:rPr>
                <w:spacing w:val="7"/>
              </w:rPr>
              <w:t>总数的</w:t>
            </w:r>
            <w:r>
              <w:rPr>
                <w:b/>
                <w:bCs/>
                <w:spacing w:val="7"/>
              </w:rPr>
              <w:t>1%。</w:t>
            </w:r>
          </w:p>
        </w:tc>
      </w:tr>
      <w:tr>
        <w:trPr>
          <w:trHeight w:val="724" w:hRule="atLeast"/>
        </w:trPr>
        <w:tc>
          <w:tcPr>
            <w:tcW w:w="1425" w:type="dxa"/>
            <w:vAlign w:val="top"/>
          </w:tcPr>
          <w:p>
            <w:pPr>
              <w:pStyle w:val="TableText"/>
              <w:ind w:left="352"/>
              <w:spacing w:before="277" w:line="179" w:lineRule="auto"/>
              <w:rPr/>
            </w:pPr>
            <w:r>
              <w:rPr>
                <w:spacing w:val="2"/>
              </w:rPr>
              <w:t>300513</w:t>
            </w:r>
          </w:p>
        </w:tc>
        <w:tc>
          <w:tcPr>
            <w:tcW w:w="1434" w:type="dxa"/>
            <w:vAlign w:val="top"/>
          </w:tcPr>
          <w:p>
            <w:pPr>
              <w:pStyle w:val="TableText"/>
              <w:ind w:left="293"/>
              <w:spacing w:before="264" w:line="189" w:lineRule="auto"/>
              <w:rPr/>
            </w:pPr>
            <w:r>
              <w:rPr>
                <w:spacing w:val="8"/>
              </w:rPr>
              <w:t>恒实科技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ind w:left="411"/>
              <w:spacing w:before="264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399" w:type="dxa"/>
            <w:vAlign w:val="top"/>
          </w:tcPr>
          <w:p>
            <w:pPr>
              <w:pStyle w:val="TableText"/>
              <w:ind w:left="111" w:right="299" w:hanging="4"/>
              <w:spacing w:before="44" w:line="234" w:lineRule="auto"/>
              <w:rPr/>
            </w:pPr>
            <w:r>
              <w:rPr>
                <w:spacing w:val="9"/>
              </w:rPr>
              <w:t>公司《业绩预告》预计净利润与年报披露的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净利润</w:t>
            </w:r>
            <w:r>
              <w:rPr>
                <w:b/>
                <w:bCs/>
                <w:spacing w:val="7"/>
              </w:rPr>
              <w:t>差异较大。</w:t>
            </w:r>
          </w:p>
        </w:tc>
      </w:tr>
      <w:tr>
        <w:trPr>
          <w:trHeight w:val="1446" w:hRule="atLeast"/>
        </w:trPr>
        <w:tc>
          <w:tcPr>
            <w:shd w:val="clear" w:fill="C7DAF1"/>
            <w:tcW w:w="142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2"/>
              <w:spacing w:before="86" w:line="179" w:lineRule="auto"/>
              <w:rPr/>
            </w:pPr>
            <w:r>
              <w:rPr>
                <w:spacing w:val="2"/>
              </w:rPr>
              <w:t>300198</w:t>
            </w:r>
          </w:p>
        </w:tc>
        <w:tc>
          <w:tcPr>
            <w:shd w:val="clear" w:fill="C7DAF1"/>
            <w:tcW w:w="14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3"/>
              <w:spacing w:before="85" w:line="189" w:lineRule="auto"/>
              <w:rPr/>
            </w:pPr>
            <w:r>
              <w:rPr>
                <w:spacing w:val="8"/>
              </w:rPr>
              <w:t>纳川股份</w:t>
            </w:r>
          </w:p>
        </w:tc>
        <w:tc>
          <w:tcPr>
            <w:shd w:val="clear" w:fill="C7DAF1"/>
            <w:tcW w:w="144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85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shd w:val="clear" w:fill="C7DAF1"/>
            <w:tcW w:w="4399" w:type="dxa"/>
            <w:vAlign w:val="top"/>
          </w:tcPr>
          <w:p>
            <w:pPr>
              <w:pStyle w:val="TableText"/>
              <w:ind w:left="106" w:right="299" w:firstLine="12"/>
              <w:spacing w:before="86" w:line="236" w:lineRule="auto"/>
              <w:jc w:val="both"/>
              <w:rPr/>
            </w:pPr>
            <w:r>
              <w:rPr>
                <w:spacing w:val="9"/>
              </w:rPr>
              <w:t>陈某江、睿汇海纳作为权益变动信息披露义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务人， 未及时、准确、完整地披露</w:t>
            </w:r>
            <w:r>
              <w:rPr>
                <w:b/>
                <w:bCs/>
                <w:spacing w:val="6"/>
              </w:rPr>
              <w:t>协议转让</w:t>
            </w:r>
            <w:r>
              <w:rPr>
                <w:b/>
                <w:bCs/>
                <w:spacing w:val="7"/>
              </w:rPr>
              <w:t xml:space="preserve"> </w:t>
            </w:r>
            <w:r>
              <w:rPr>
                <w:b/>
                <w:bCs/>
                <w:spacing w:val="9"/>
              </w:rPr>
              <w:t>过程中</w:t>
            </w:r>
            <w:r>
              <w:rPr>
                <w:spacing w:val="9"/>
              </w:rPr>
              <w:t>对纳川股份股票可能产生较大影响的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5"/>
              </w:rPr>
              <w:t>重要信息， 长期、故意隐瞒相关违规行为。</w:t>
            </w:r>
          </w:p>
        </w:tc>
      </w:tr>
      <w:tr>
        <w:trPr>
          <w:trHeight w:val="2526" w:hRule="atLeast"/>
        </w:trPr>
        <w:tc>
          <w:tcPr>
            <w:tcW w:w="142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7"/>
              <w:spacing w:before="86" w:line="178" w:lineRule="auto"/>
              <w:rPr/>
            </w:pPr>
            <w:r>
              <w:rPr>
                <w:spacing w:val="3"/>
              </w:rPr>
              <w:t>000622</w:t>
            </w:r>
          </w:p>
        </w:tc>
        <w:tc>
          <w:tcPr>
            <w:tcW w:w="14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86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恒立</w:t>
            </w:r>
          </w:p>
        </w:tc>
        <w:tc>
          <w:tcPr>
            <w:tcW w:w="144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4399" w:type="dxa"/>
            <w:vAlign w:val="top"/>
          </w:tcPr>
          <w:p>
            <w:pPr>
              <w:pStyle w:val="TableText"/>
              <w:ind w:left="107" w:right="177"/>
              <w:spacing w:before="83" w:line="243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未在业绩预告中</w:t>
            </w:r>
            <w:r>
              <w:rPr>
                <w:spacing w:val="9"/>
              </w:rPr>
              <w:t>预计扣除非经常性损益</w:t>
            </w:r>
            <w:r>
              <w:rPr>
                <w:spacing w:val="4"/>
              </w:rPr>
              <w:t xml:space="preserve">   </w:t>
            </w:r>
            <w:r>
              <w:rPr>
                <w:spacing w:val="6"/>
              </w:rPr>
              <w:t>前后的净利润孰低者为负值， 且扣除后营业</w:t>
            </w:r>
            <w:r>
              <w:rPr>
                <w:spacing w:val="2"/>
              </w:rPr>
              <w:t xml:space="preserve">   </w:t>
            </w:r>
            <w:r>
              <w:rPr>
                <w:spacing w:val="5"/>
              </w:rPr>
              <w:t>收入低于1亿元的情形。</w:t>
            </w:r>
            <w:r>
              <w:rPr>
                <w:spacing w:val="-31"/>
              </w:rPr>
              <w:t xml:space="preserve"> </w:t>
            </w:r>
            <w:r>
              <w:rPr>
                <w:spacing w:val="5"/>
              </w:rPr>
              <w:t>同时， 公司未按</w:t>
            </w:r>
            <w:r>
              <w:rPr>
                <w:spacing w:val="4"/>
              </w:rPr>
              <w:t>规定</w:t>
            </w:r>
            <w:r>
              <w:rPr/>
              <w:t xml:space="preserve"> </w:t>
            </w:r>
            <w:r>
              <w:rPr>
                <w:spacing w:val="6"/>
              </w:rPr>
              <w:t>在会计年度结束后一个月内， 披露公司股票</w:t>
            </w:r>
            <w:r>
              <w:rPr>
                <w:spacing w:val="2"/>
              </w:rPr>
              <w:t xml:space="preserve">   </w:t>
            </w:r>
            <w:r>
              <w:rPr>
                <w:spacing w:val="9"/>
              </w:rPr>
              <w:t>交易</w:t>
            </w:r>
            <w:r>
              <w:rPr>
                <w:b/>
                <w:bCs/>
                <w:spacing w:val="9"/>
              </w:rPr>
              <w:t>可能被实施退市风险警示</w:t>
            </w:r>
            <w:r>
              <w:rPr>
                <w:spacing w:val="9"/>
              </w:rPr>
              <w:t>的风险提示公</w:t>
            </w:r>
            <w:r>
              <w:rPr>
                <w:spacing w:val="4"/>
              </w:rPr>
              <w:t xml:space="preserve">   </w:t>
            </w:r>
            <w:r>
              <w:rPr>
                <w:spacing w:val="6"/>
              </w:rPr>
              <w:t>告， 未按规定在披露年度报告前至少再披露</w:t>
            </w:r>
            <w:r>
              <w:rPr>
                <w:spacing w:val="2"/>
              </w:rPr>
              <w:t xml:space="preserve">   </w:t>
            </w:r>
            <w:r>
              <w:rPr>
                <w:spacing w:val="8"/>
              </w:rPr>
              <w:t>两次风险提示公告。</w:t>
            </w:r>
          </w:p>
        </w:tc>
      </w:tr>
      <w:tr>
        <w:trPr>
          <w:trHeight w:val="724" w:hRule="atLeast"/>
        </w:trPr>
        <w:tc>
          <w:tcPr>
            <w:shd w:val="clear" w:fill="C7DAF1"/>
            <w:tcW w:w="1425" w:type="dxa"/>
            <w:vAlign w:val="top"/>
          </w:tcPr>
          <w:p>
            <w:pPr>
              <w:pStyle w:val="TableText"/>
              <w:ind w:left="347"/>
              <w:spacing w:before="279" w:line="178" w:lineRule="auto"/>
              <w:rPr/>
            </w:pPr>
            <w:r>
              <w:rPr>
                <w:spacing w:val="3"/>
              </w:rPr>
              <w:t>002424</w:t>
            </w:r>
          </w:p>
        </w:tc>
        <w:tc>
          <w:tcPr>
            <w:shd w:val="clear" w:fill="C7DAF1"/>
            <w:tcW w:w="1434" w:type="dxa"/>
            <w:vAlign w:val="top"/>
          </w:tcPr>
          <w:p>
            <w:pPr>
              <w:pStyle w:val="TableText"/>
              <w:ind w:left="395"/>
              <w:spacing w:before="277" w:line="180" w:lineRule="auto"/>
              <w:rPr/>
            </w:pPr>
            <w:r>
              <w:rPr/>
              <w:t>ST</w:t>
            </w:r>
            <w:r>
              <w:rPr>
                <w:spacing w:val="7"/>
              </w:rPr>
              <w:t>百灵</w:t>
            </w:r>
          </w:p>
        </w:tc>
        <w:tc>
          <w:tcPr>
            <w:shd w:val="clear" w:fill="C7DAF1"/>
            <w:tcW w:w="1449" w:type="dxa"/>
            <w:vAlign w:val="top"/>
          </w:tcPr>
          <w:p>
            <w:pPr>
              <w:pStyle w:val="TableText"/>
              <w:ind w:left="304"/>
              <w:spacing w:before="267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shd w:val="clear" w:fill="C7DAF1"/>
            <w:tcW w:w="4399" w:type="dxa"/>
            <w:vAlign w:val="top"/>
          </w:tcPr>
          <w:p>
            <w:pPr>
              <w:pStyle w:val="TableText"/>
              <w:ind w:left="109" w:right="436" w:hanging="2"/>
              <w:spacing w:before="84" w:line="220" w:lineRule="auto"/>
              <w:rPr/>
            </w:pPr>
            <w:r>
              <w:rPr>
                <w:spacing w:val="9"/>
              </w:rPr>
              <w:t>公司未在规定期限内披露2023年度</w:t>
            </w:r>
            <w:r>
              <w:rPr>
                <w:b/>
                <w:bCs/>
                <w:spacing w:val="9"/>
              </w:rPr>
              <w:t>业绩预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"/>
              </w:rPr>
              <w:t>告</w:t>
            </w:r>
            <w:r>
              <w:rPr>
                <w:spacing w:val="1"/>
              </w:rPr>
              <w:t>。</w:t>
            </w:r>
          </w:p>
        </w:tc>
      </w:tr>
      <w:tr>
        <w:trPr>
          <w:trHeight w:val="1084" w:hRule="atLeast"/>
        </w:trPr>
        <w:tc>
          <w:tcPr>
            <w:tcW w:w="1425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7"/>
              <w:spacing w:before="85" w:line="179" w:lineRule="auto"/>
              <w:rPr/>
            </w:pPr>
            <w:r>
              <w:rPr>
                <w:spacing w:val="3"/>
              </w:rPr>
              <w:t>002197</w:t>
            </w:r>
          </w:p>
        </w:tc>
        <w:tc>
          <w:tcPr>
            <w:tcW w:w="143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5"/>
              <w:spacing w:before="85" w:line="186" w:lineRule="auto"/>
              <w:rPr/>
            </w:pPr>
            <w:r>
              <w:rPr/>
              <w:t>ST</w:t>
            </w:r>
            <w:r>
              <w:rPr>
                <w:spacing w:val="7"/>
              </w:rPr>
              <w:t>证通</w:t>
            </w:r>
          </w:p>
        </w:tc>
        <w:tc>
          <w:tcPr>
            <w:tcW w:w="1449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4399" w:type="dxa"/>
            <w:vAlign w:val="top"/>
          </w:tcPr>
          <w:p>
            <w:pPr>
              <w:pStyle w:val="TableText"/>
              <w:ind w:left="108" w:right="227" w:hanging="1"/>
              <w:spacing w:before="87" w:line="230" w:lineRule="auto"/>
              <w:jc w:val="both"/>
              <w:rPr/>
            </w:pPr>
            <w:r>
              <w:rPr>
                <w:spacing w:val="9"/>
              </w:rPr>
              <w:t>公司业绩预告披露的2023年度预计净利润与</w:t>
            </w:r>
            <w:r>
              <w:rPr/>
              <w:t xml:space="preserve"> </w:t>
            </w:r>
            <w:r>
              <w:rPr>
                <w:spacing w:val="5"/>
              </w:rPr>
              <w:t>经审计的2023年度</w:t>
            </w:r>
            <w:r>
              <w:rPr>
                <w:b/>
                <w:bCs/>
                <w:spacing w:val="5"/>
              </w:rPr>
              <w:t>净利润差异较大， 且盈亏</w:t>
            </w:r>
            <w:r>
              <w:rPr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7"/>
              </w:rPr>
              <w:t>性质发生变化。</w:t>
            </w:r>
          </w:p>
        </w:tc>
      </w:tr>
      <w:tr>
        <w:trPr>
          <w:trHeight w:val="1451" w:hRule="atLeast"/>
        </w:trPr>
        <w:tc>
          <w:tcPr>
            <w:shd w:val="clear" w:fill="C7DAF1"/>
            <w:tcW w:w="142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7"/>
              <w:spacing w:before="86" w:line="178" w:lineRule="auto"/>
              <w:rPr/>
            </w:pPr>
            <w:r>
              <w:rPr>
                <w:spacing w:val="3"/>
              </w:rPr>
              <w:t>002052</w:t>
            </w:r>
          </w:p>
        </w:tc>
        <w:tc>
          <w:tcPr>
            <w:shd w:val="clear" w:fill="C7DAF1"/>
            <w:tcW w:w="143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86" w:line="185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同洲</w:t>
            </w:r>
          </w:p>
        </w:tc>
        <w:tc>
          <w:tcPr>
            <w:shd w:val="clear" w:fill="C7DAF1"/>
            <w:tcW w:w="144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4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C7DAF1"/>
            <w:tcW w:w="4399" w:type="dxa"/>
            <w:vAlign w:val="top"/>
          </w:tcPr>
          <w:p>
            <w:pPr>
              <w:pStyle w:val="TableText"/>
              <w:ind w:left="107" w:right="177"/>
              <w:spacing w:before="85" w:line="237" w:lineRule="auto"/>
              <w:rPr/>
            </w:pPr>
            <w:r>
              <w:rPr>
                <w:spacing w:val="9"/>
              </w:rPr>
              <w:t>公司2023年度经审计的净利润为负值且扣除</w:t>
            </w:r>
            <w:r>
              <w:rPr/>
              <w:t xml:space="preserve">  </w:t>
            </w:r>
            <w:r>
              <w:rPr>
                <w:spacing w:val="6"/>
              </w:rPr>
              <w:t>后营业收入低于1亿元， 公司未在会计年度结 </w:t>
            </w:r>
            <w:r>
              <w:rPr>
                <w:spacing w:val="6"/>
              </w:rPr>
              <w:t>束后一个月内， 披露股票交易</w:t>
            </w:r>
            <w:r>
              <w:rPr>
                <w:b/>
                <w:bCs/>
                <w:spacing w:val="6"/>
              </w:rPr>
              <w:t>可能被实施退</w:t>
            </w:r>
            <w:r>
              <w:rPr>
                <w:b/>
                <w:bCs/>
                <w:spacing w:val="2"/>
              </w:rPr>
              <w:t xml:space="preserve">   </w:t>
            </w:r>
            <w:r>
              <w:rPr>
                <w:b/>
                <w:bCs/>
                <w:spacing w:val="9"/>
              </w:rPr>
              <w:t>市风险警示</w:t>
            </w:r>
            <w:r>
              <w:rPr>
                <w:spacing w:val="9"/>
              </w:rPr>
              <w:t>的风险提示公告。</w:t>
            </w:r>
          </w:p>
        </w:tc>
      </w:tr>
    </w:tbl>
    <w:p>
      <w:pPr>
        <w:pStyle w:val="BodyText"/>
        <w:spacing w:line="365" w:lineRule="auto"/>
        <w:rPr/>
      </w:pPr>
      <w:r/>
    </w:p>
    <w:p>
      <w:pPr>
        <w:ind w:left="311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3"/>
        </w:rPr>
        <w:t>（2） 问询函件</w:t>
      </w:r>
    </w:p>
    <w:p>
      <w:pPr>
        <w:ind w:left="492"/>
        <w:spacing w:before="151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2024 年 8 月 2</w:t>
      </w:r>
      <w:r>
        <w:rPr>
          <w:rFonts w:ascii="Microsoft YaHei" w:hAnsi="Microsoft YaHei" w:eastAsia="Microsoft YaHei" w:cs="Microsoft YaHei"/>
          <w:sz w:val="24"/>
          <w:szCs w:val="24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日-8 月 18</w:t>
      </w:r>
      <w:r>
        <w:rPr>
          <w:rFonts w:ascii="Microsoft YaHei" w:hAnsi="Microsoft YaHei" w:eastAsia="Microsoft YaHei" w:cs="Microsoft YaHei"/>
          <w:sz w:val="24"/>
          <w:szCs w:val="24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日， 深交所官网未查询到问询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函件。</w:t>
      </w:r>
    </w:p>
    <w:p>
      <w:pPr>
        <w:pStyle w:val="BodyText"/>
        <w:spacing w:line="274" w:lineRule="auto"/>
        <w:rPr/>
      </w:pPr>
      <w:r/>
    </w:p>
    <w:p>
      <w:pPr>
        <w:ind w:left="490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2、市场交易监管动态</w:t>
      </w:r>
    </w:p>
    <w:p>
      <w:pPr>
        <w:pStyle w:val="BodyText"/>
        <w:spacing w:line="272" w:lineRule="auto"/>
        <w:rPr/>
      </w:pPr>
      <w:r/>
    </w:p>
    <w:p>
      <w:pPr>
        <w:ind w:firstLine="492"/>
        <w:spacing w:before="103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2024 年 8 月</w:t>
      </w:r>
      <w:r>
        <w:rPr>
          <w:rFonts w:ascii="Microsoft YaHei" w:hAnsi="Microsoft YaHei" w:eastAsia="Microsoft YaHei" w:cs="Microsoft YaHei"/>
          <w:sz w:val="24"/>
          <w:szCs w:val="24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12</w:t>
      </w:r>
      <w:r>
        <w:rPr>
          <w:rFonts w:ascii="Microsoft YaHei" w:hAnsi="Microsoft YaHei" w:eastAsia="Microsoft YaHei" w:cs="Microsoft YaHei"/>
          <w:sz w:val="24"/>
          <w:szCs w:val="24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日-8 月</w:t>
      </w:r>
      <w:r>
        <w:rPr>
          <w:rFonts w:ascii="Microsoft YaHei" w:hAnsi="Microsoft YaHei" w:eastAsia="Microsoft YaHei" w:cs="Microsoft YaHei"/>
          <w:sz w:val="24"/>
          <w:szCs w:val="24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18</w:t>
      </w:r>
      <w:r>
        <w:rPr>
          <w:rFonts w:ascii="Microsoft YaHei" w:hAnsi="Microsoft YaHei" w:eastAsia="Microsoft YaHei" w:cs="Microsoft YaHei"/>
          <w:sz w:val="24"/>
          <w:szCs w:val="24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日， 深交所共对 96 起证券异常交易行为采取了自律监管措施， 涉及盘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中拉抬打压、虚假申报等异常交易情形； 共对</w:t>
      </w:r>
      <w:r>
        <w:rPr>
          <w:rFonts w:ascii="Microsoft YaHei" w:hAnsi="Microsoft YaHei" w:eastAsia="Microsoft YaHei" w:cs="Microsoft YaHei"/>
          <w:sz w:val="24"/>
          <w:szCs w:val="24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11 起上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市公司重大事项进行核查， 并上报证监会 3 起涉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嫌违法违规案件线索。</w:t>
      </w:r>
    </w:p>
    <w:p>
      <w:pPr>
        <w:ind w:left="496"/>
        <w:spacing w:before="82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3"/>
        </w:rPr>
        <w:t>3、会员监管动态</w:t>
      </w:r>
    </w:p>
    <w:p>
      <w:pPr>
        <w:pStyle w:val="BodyText"/>
        <w:spacing w:line="273" w:lineRule="auto"/>
        <w:rPr/>
      </w:pPr>
      <w:r/>
    </w:p>
    <w:p>
      <w:pPr>
        <w:ind w:left="2" w:right="7" w:firstLine="490"/>
        <w:spacing w:before="103" w:line="35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2024 年 8 月</w:t>
      </w:r>
      <w:r>
        <w:rPr>
          <w:rFonts w:ascii="Microsoft YaHei" w:hAnsi="Microsoft YaHei" w:eastAsia="Microsoft YaHei" w:cs="Microsoft YaHei"/>
          <w:sz w:val="24"/>
          <w:szCs w:val="24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12</w:t>
      </w:r>
      <w:r>
        <w:rPr>
          <w:rFonts w:ascii="Microsoft YaHei" w:hAnsi="Microsoft YaHei" w:eastAsia="Microsoft YaHei" w:cs="Microsoft YaHei"/>
          <w:sz w:val="24"/>
          <w:szCs w:val="24"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日-8 月</w:t>
      </w:r>
      <w:r>
        <w:rPr>
          <w:rFonts w:ascii="Microsoft YaHei" w:hAnsi="Microsoft YaHei" w:eastAsia="Microsoft YaHei" w:cs="Microsoft YaHei"/>
          <w:sz w:val="24"/>
          <w:szCs w:val="24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18</w:t>
      </w:r>
      <w:r>
        <w:rPr>
          <w:rFonts w:ascii="Microsoft YaHei" w:hAnsi="Microsoft YaHei" w:eastAsia="Microsoft YaHei" w:cs="Microsoft YaHei"/>
          <w:sz w:val="24"/>
          <w:szCs w:val="24"/>
          <w:spacing w:val="2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日，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 xml:space="preserve"> 针对股票发行上市申请项目中保荐代表人存在违规行为的情形，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深交所对一家会员相关保荐代表人采取了书面警示的监管措施； 针对证券发行与承销业务违规情形， 对</w:t>
      </w:r>
      <w:r>
        <w:rPr>
          <w:rFonts w:ascii="Microsoft YaHei" w:hAnsi="Microsoft YaHei" w:eastAsia="Microsoft YaHei" w:cs="Microsoft YaHei"/>
          <w:sz w:val="24"/>
          <w:szCs w:val="24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一家会员采取了约见谈话的监管措施。</w:t>
      </w:r>
    </w:p>
    <w:sectPr>
      <w:pgSz w:w="11906" w:h="16838"/>
      <w:pgMar w:top="400" w:right="637" w:bottom="0" w:left="43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040" cy="7431895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59040" cy="7431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_x0000_s34" style="position:absolute;margin-left:120.536pt;margin-top:81.1281pt;mso-position-vertical-relative:page;mso-position-horizontal-relative:page;width:13.8pt;height:17.7pt;z-index:251659264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ind w:left="20"/>
                  <w:spacing w:before="20" w:line="182" w:lineRule="auto"/>
                  <w:rPr>
                    <w:rFonts w:ascii="Microsoft YaHei" w:hAnsi="Microsoft YaHei" w:eastAsia="Microsoft YaHei" w:cs="Microsoft YaHei"/>
                    <w:sz w:val="24"/>
                    <w:szCs w:val="24"/>
                  </w:rPr>
                </w:pPr>
                <w:r>
                  <w:rPr>
                    <w:rFonts w:ascii="Microsoft YaHei" w:hAnsi="Microsoft YaHei" w:eastAsia="Microsoft YaHei" w:cs="Microsoft YaHei"/>
                    <w:sz w:val="24"/>
                    <w:szCs w:val="24"/>
                    <w:b/>
                    <w:bCs/>
                  </w:rPr>
                  <w:t>管</w:t>
                </w:r>
              </w:p>
            </w:txbxContent>
          </v:textbox>
        </v:shape>
      </w:pict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image" Target="media/image7.jpeg"/><Relationship Id="rId7" Type="http://schemas.openxmlformats.org/officeDocument/2006/relationships/image" Target="media/image6.pn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" Type="http://schemas.openxmlformats.org/officeDocument/2006/relationships/header" Target="head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2024-09-02T11:53:14</vt:filetime>
  </property>
</Properties>
</file>