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61" w:lineRule="auto"/>
        <w:rPr/>
      </w:pPr>
      <w:r/>
    </w:p>
    <w:p>
      <w:pPr>
        <w:pStyle w:val="BodyText"/>
        <w:spacing w:line="261"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ind w:left="2592"/>
        <w:spacing w:before="356" w:line="216" w:lineRule="auto"/>
        <w:outlineLvl w:val="0"/>
        <w:rPr>
          <w:rFonts w:ascii="Microsoft YaHei" w:hAnsi="Microsoft YaHei" w:eastAsia="Microsoft YaHei" w:cs="Microsoft YaHei"/>
          <w:sz w:val="83"/>
          <w:szCs w:val="83"/>
        </w:rPr>
      </w:pPr>
      <w:r>
        <w:rPr>
          <w:rFonts w:ascii="Microsoft YaHei" w:hAnsi="Microsoft YaHei" w:eastAsia="Microsoft YaHei" w:cs="Microsoft YaHei"/>
          <w:sz w:val="83"/>
          <w:szCs w:val="83"/>
          <w:b/>
          <w:bCs/>
          <w:color w:val="FFFFFF"/>
          <w:spacing w:val="7"/>
        </w:rPr>
        <w:t>一周法规速递|监管动态</w:t>
      </w:r>
    </w:p>
    <w:p>
      <w:pPr>
        <w:ind w:left="5717"/>
        <w:spacing w:before="7"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1"/>
        </w:rPr>
        <w:t>2024年08月05日—2024年08月11</w:t>
      </w:r>
      <w:r>
        <w:rPr>
          <w:rFonts w:ascii="Microsoft YaHei" w:hAnsi="Microsoft YaHei" w:eastAsia="Microsoft YaHei" w:cs="Microsoft YaHei"/>
          <w:sz w:val="30"/>
          <w:szCs w:val="30"/>
          <w:color w:val="FFFFFF"/>
          <w:spacing w:val="-41"/>
        </w:rPr>
        <w:t xml:space="preserve"> </w:t>
      </w:r>
      <w:r>
        <w:rPr>
          <w:rFonts w:ascii="Microsoft YaHei" w:hAnsi="Microsoft YaHei" w:eastAsia="Microsoft YaHei" w:cs="Microsoft YaHei"/>
          <w:sz w:val="30"/>
          <w:szCs w:val="30"/>
          <w:color w:val="FFFFFF"/>
          <w:spacing w:val="-1"/>
        </w:rPr>
        <w:t>日</w:t>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ind w:left="4586" w:right="3731" w:hanging="886"/>
        <w:spacing w:before="133" w:line="369" w:lineRule="auto"/>
        <w:rPr>
          <w:rFonts w:ascii="Microsoft YaHei" w:hAnsi="Microsoft YaHei" w:eastAsia="Microsoft YaHei" w:cs="Microsoft YaHei"/>
          <w:sz w:val="31"/>
          <w:szCs w:val="31"/>
        </w:rPr>
      </w:pPr>
      <w:r>
        <w:rPr>
          <w:rFonts w:ascii="Microsoft YaHei" w:hAnsi="Microsoft YaHei" w:eastAsia="Microsoft YaHei" w:cs="Microsoft YaHei"/>
          <w:sz w:val="31"/>
          <w:szCs w:val="31"/>
          <w:b/>
          <w:bCs/>
          <w:spacing w:val="9"/>
        </w:rPr>
        <w:t>深圳价值在线咨询顾问有限公司</w:t>
      </w:r>
      <w:r>
        <w:rPr>
          <w:rFonts w:ascii="Microsoft YaHei" w:hAnsi="Microsoft YaHei" w:eastAsia="Microsoft YaHei" w:cs="Microsoft YaHei"/>
          <w:sz w:val="31"/>
          <w:szCs w:val="31"/>
          <w:b/>
          <w:bCs/>
          <w:spacing w:val="11"/>
        </w:rPr>
        <w:t xml:space="preserve"> </w:t>
      </w:r>
      <w:r>
        <w:rPr>
          <w:rFonts w:ascii="Microsoft YaHei" w:hAnsi="Microsoft YaHei" w:eastAsia="Microsoft YaHei" w:cs="Microsoft YaHei"/>
          <w:sz w:val="31"/>
          <w:szCs w:val="31"/>
          <w:b/>
          <w:bCs/>
          <w:spacing w:val="5"/>
        </w:rPr>
        <w:t>2024年08月12日</w:t>
      </w:r>
    </w:p>
    <w:p>
      <w:pPr>
        <w:spacing w:line="369" w:lineRule="auto"/>
        <w:sectPr>
          <w:headerReference w:type="default" r:id="rId1"/>
          <w:pgSz w:w="11910" w:h="16840"/>
          <w:pgMar w:top="400" w:right="0" w:bottom="0" w:left="0" w:header="0" w:footer="0" w:gutter="0"/>
        </w:sectPr>
        <w:rPr>
          <w:rFonts w:ascii="Microsoft YaHei" w:hAnsi="Microsoft YaHei" w:eastAsia="Microsoft YaHei" w:cs="Microsoft YaHei"/>
          <w:sz w:val="31"/>
          <w:szCs w:val="31"/>
        </w:rPr>
      </w:pPr>
    </w:p>
    <w:p>
      <w:pPr>
        <w:rPr>
          <w:rFonts w:ascii="Microsoft YaHei" w:hAnsi="Microsoft YaHei" w:eastAsia="Microsoft YaHei" w:cs="Microsoft YaHei"/>
          <w:sz w:val="43"/>
          <w:szCs w:val="43"/>
        </w:rPr>
      </w:pPr>
      <w:r>
        <w:drawing>
          <wp:anchor distT="0" distB="0" distL="0" distR="0" simplePos="0" relativeHeight="251658240" behindDoc="1" locked="0" layoutInCell="1" allowOverlap="1">
            <wp:simplePos x="0" y="0"/>
            <wp:positionH relativeFrom="column">
              <wp:posOffset>803275</wp:posOffset>
            </wp:positionH>
            <wp:positionV relativeFrom="paragraph">
              <wp:posOffset>580923</wp:posOffset>
            </wp:positionV>
            <wp:extent cx="6674484" cy="34493"/>
            <wp:effectExtent l="0" t="0" r="0" b="0"/>
            <wp:wrapNone/>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6674484" cy="34493"/>
                    </a:xfrm>
                    <a:prstGeom prst="rect">
                      <a:avLst/>
                    </a:prstGeom>
                  </pic:spPr>
                </pic:pic>
              </a:graphicData>
            </a:graphic>
          </wp:anchor>
        </w:drawing>
      </w:r>
      <w:r>
        <w:rPr>
          <w:rFonts w:ascii="Microsoft YaHei" w:hAnsi="Microsoft YaHei" w:eastAsia="Microsoft YaHei" w:cs="Microsoft YaHei"/>
          <w:sz w:val="43"/>
          <w:szCs w:val="43"/>
          <w:position w:val="-39"/>
        </w:rPr>
        <w:drawing>
          <wp:inline distT="0" distB="0" distL="0" distR="0">
            <wp:extent cx="803148" cy="625475"/>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803148" cy="625475"/>
                    </a:xfrm>
                    <a:prstGeom prst="rect">
                      <a:avLst/>
                    </a:prstGeom>
                  </pic:spPr>
                </pic:pic>
              </a:graphicData>
            </a:graphic>
          </wp:inline>
        </w:drawing>
      </w:r>
      <w:r>
        <w:rPr>
          <w:rFonts w:ascii="Microsoft YaHei" w:hAnsi="Microsoft YaHei" w:eastAsia="Microsoft YaHei" w:cs="Microsoft YaHei"/>
          <w:sz w:val="43"/>
          <w:szCs w:val="43"/>
          <w:spacing w:val="15"/>
        </w:rPr>
        <w:t xml:space="preserve">   </w:t>
      </w:r>
      <w:r>
        <w:rPr>
          <w:rFonts w:ascii="Microsoft YaHei" w:hAnsi="Microsoft YaHei" w:eastAsia="Microsoft YaHei" w:cs="Microsoft YaHei"/>
          <w:sz w:val="43"/>
          <w:szCs w:val="43"/>
          <w:spacing w:val="8"/>
        </w:rPr>
        <w:t>法规速递</w:t>
      </w:r>
    </w:p>
    <w:p>
      <w:pPr>
        <w:pStyle w:val="BodyText"/>
        <w:spacing w:line="303" w:lineRule="auto"/>
        <w:rPr/>
      </w:pPr>
      <w:r/>
    </w:p>
    <w:p>
      <w:pPr>
        <w:ind w:left="663" w:right="587" w:firstLine="298"/>
        <w:spacing w:before="120" w:line="260" w:lineRule="auto"/>
        <w:outlineLvl w:val="0"/>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0B0B0B"/>
          <w:spacing w:val="-1"/>
        </w:rPr>
        <w:t>1、关于就国际会计准则理事会发布的财务报表中的气候和其他不确定性征求意见稿</w:t>
      </w:r>
      <w:r>
        <w:rPr>
          <w:rFonts w:ascii="Microsoft YaHei" w:hAnsi="Microsoft YaHei" w:eastAsia="Microsoft YaHei" w:cs="Microsoft YaHei"/>
          <w:sz w:val="28"/>
          <w:szCs w:val="28"/>
          <w:b/>
          <w:bCs/>
          <w:color w:val="0B0B0B"/>
          <w:spacing w:val="10"/>
        </w:rPr>
        <w:t xml:space="preserve"> </w:t>
      </w:r>
      <w:r>
        <w:rPr>
          <w:rFonts w:ascii="Microsoft YaHei" w:hAnsi="Microsoft YaHei" w:eastAsia="Microsoft YaHei" w:cs="Microsoft YaHei"/>
          <w:sz w:val="28"/>
          <w:szCs w:val="28"/>
          <w:b/>
          <w:bCs/>
          <w:color w:val="0B0B0B"/>
          <w:spacing w:val="-1"/>
        </w:rPr>
        <w:t>公开征求意见的函</w:t>
      </w:r>
    </w:p>
    <w:p>
      <w:pPr>
        <w:ind w:left="1138"/>
        <w:spacing w:before="291"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1"/>
        </w:rPr>
        <w:t>各有关单位：</w:t>
      </w:r>
    </w:p>
    <w:p>
      <w:pPr>
        <w:ind w:left="660" w:right="419" w:firstLine="491"/>
        <w:spacing w:before="258" w:line="34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6"/>
        </w:rPr>
        <w:t>2024年7月31日， 国际会计准则理事会 （IASB） 发布了《财务报表中的气候和其他不确定性 （征</w:t>
      </w:r>
      <w:r>
        <w:rPr>
          <w:rFonts w:ascii="Microsoft YaHei" w:hAnsi="Microsoft YaHei" w:eastAsia="Microsoft YaHei" w:cs="Microsoft YaHei"/>
          <w:sz w:val="24"/>
          <w:szCs w:val="24"/>
          <w:color w:val="0B0B0B"/>
          <w:spacing w:val="3"/>
        </w:rPr>
        <w:t xml:space="preserve">  </w:t>
      </w:r>
      <w:r>
        <w:rPr>
          <w:rFonts w:ascii="Microsoft YaHei" w:hAnsi="Microsoft YaHei" w:eastAsia="Microsoft YaHei" w:cs="Microsoft YaHei"/>
          <w:sz w:val="24"/>
          <w:szCs w:val="24"/>
          <w:color w:val="0B0B0B"/>
          <w:spacing w:val="-3"/>
        </w:rPr>
        <w:t>求意见稿） 》 （以下简称征求意见稿</w:t>
      </w:r>
      <w:r>
        <w:rPr>
          <w:rFonts w:ascii="Microsoft YaHei" w:hAnsi="Microsoft YaHei" w:eastAsia="Microsoft YaHei" w:cs="Microsoft YaHei"/>
          <w:sz w:val="24"/>
          <w:szCs w:val="24"/>
          <w:color w:val="0B0B0B"/>
          <w:spacing w:val="-30"/>
        </w:rPr>
        <w:t>），</w:t>
      </w:r>
      <w:r>
        <w:rPr>
          <w:rFonts w:ascii="Microsoft YaHei" w:hAnsi="Microsoft YaHei" w:eastAsia="Microsoft YaHei" w:cs="Microsoft YaHei"/>
          <w:sz w:val="24"/>
          <w:szCs w:val="24"/>
          <w:color w:val="0B0B0B"/>
          <w:spacing w:val="-8"/>
        </w:rPr>
        <w:t xml:space="preserve"> </w:t>
      </w:r>
      <w:r>
        <w:rPr>
          <w:rFonts w:ascii="Microsoft YaHei" w:hAnsi="Microsoft YaHei" w:eastAsia="Microsoft YaHei" w:cs="Microsoft YaHei"/>
          <w:sz w:val="24"/>
          <w:szCs w:val="24"/>
          <w:color w:val="0B0B0B"/>
          <w:spacing w:val="-3"/>
        </w:rPr>
        <w:t>拟通过8个示例说明企业</w:t>
      </w:r>
      <w:r>
        <w:rPr>
          <w:rFonts w:ascii="Microsoft YaHei" w:hAnsi="Microsoft YaHei" w:eastAsia="Microsoft YaHei" w:cs="Microsoft YaHei"/>
          <w:sz w:val="24"/>
          <w:szCs w:val="24"/>
          <w:color w:val="0B0B0B"/>
          <w:spacing w:val="-4"/>
        </w:rPr>
        <w:t>在财务报表中报告气候和其他不确定</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2"/>
        </w:rPr>
        <w:t>性影响时应当如何应用国际财务报告会计准则， 并向全球利益相关方公开征求意见。</w:t>
      </w:r>
    </w:p>
    <w:p>
      <w:pPr>
        <w:ind w:left="660" w:right="433" w:firstLine="485"/>
        <w:spacing w:before="122" w:line="35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为深入参与国际财务报告会计准则制定， 使国际财务报告会计准则的修订完善更好地满足我国利</w:t>
      </w:r>
      <w:r>
        <w:rPr>
          <w:rFonts w:ascii="Microsoft YaHei" w:hAnsi="Microsoft YaHei" w:eastAsia="Microsoft YaHei" w:cs="Microsoft YaHei"/>
          <w:sz w:val="24"/>
          <w:szCs w:val="24"/>
          <w:color w:val="0B0B0B"/>
          <w:spacing w:val="1"/>
        </w:rPr>
        <w:t xml:space="preserve">   </w:t>
      </w:r>
      <w:r>
        <w:rPr>
          <w:rFonts w:ascii="Microsoft YaHei" w:hAnsi="Microsoft YaHei" w:eastAsia="Microsoft YaHei" w:cs="Microsoft YaHei"/>
          <w:sz w:val="24"/>
          <w:szCs w:val="24"/>
          <w:color w:val="0B0B0B"/>
          <w:spacing w:val="-3"/>
        </w:rPr>
        <w:t>益相关方需要， 请贵单位组织对征求意见稿提出意见， 并于2024年9月6日前将书面意见反馈我们。反</w:t>
      </w:r>
      <w:r>
        <w:rPr>
          <w:rFonts w:ascii="Microsoft YaHei" w:hAnsi="Microsoft YaHei" w:eastAsia="Microsoft YaHei" w:cs="Microsoft YaHei"/>
          <w:sz w:val="24"/>
          <w:szCs w:val="24"/>
          <w:color w:val="0B0B0B"/>
          <w:spacing w:val="1"/>
        </w:rPr>
        <w:t xml:space="preserve"> </w:t>
      </w:r>
      <w:r>
        <w:rPr>
          <w:rFonts w:ascii="Microsoft YaHei" w:hAnsi="Microsoft YaHei" w:eastAsia="Microsoft YaHei" w:cs="Microsoft YaHei"/>
          <w:sz w:val="24"/>
          <w:szCs w:val="24"/>
          <w:color w:val="0B0B0B"/>
          <w:spacing w:val="-3"/>
        </w:rPr>
        <w:t>馈意见请针对征求意见稿中所列问题， 结合我国的实际情况， 提出意见和建议。我</w:t>
      </w:r>
      <w:r>
        <w:rPr>
          <w:rFonts w:ascii="Microsoft YaHei" w:hAnsi="Microsoft YaHei" w:eastAsia="Microsoft YaHei" w:cs="Microsoft YaHei"/>
          <w:sz w:val="24"/>
          <w:szCs w:val="24"/>
          <w:color w:val="0B0B0B"/>
          <w:spacing w:val="-4"/>
        </w:rPr>
        <w:t>们将在整理、汇总</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3"/>
        </w:rPr>
        <w:t>和分析各方意见的基础上， 向国际会计准则理事会反馈意见。</w:t>
      </w:r>
    </w:p>
    <w:p>
      <w:pPr>
        <w:ind w:left="658" w:right="587" w:firstLine="482"/>
        <w:spacing w:before="3" w:line="34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3"/>
        </w:rPr>
        <w:t>征求意见稿的英文原文和中文简介可在财政部网站会计司子频道 （kjs.mof.gov.cn） “工作通</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4"/>
        </w:rPr>
        <w:t>知”栏目以及会计准则委员会官方网站 （www.casc.org.cn） 下载。中文简介仅供参考， 如有与英文</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5"/>
        </w:rPr>
        <w:t>原文不一致之处， 请以英文原文为准。</w:t>
      </w:r>
    </w:p>
    <w:p>
      <w:pPr>
        <w:ind w:left="1142" w:right="7158" w:hanging="2"/>
        <w:spacing w:before="121" w:line="35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6"/>
        </w:rPr>
        <w:t>联系人： 会计准则委员会</w:t>
      </w:r>
      <w:r>
        <w:rPr>
          <w:rFonts w:ascii="Microsoft YaHei" w:hAnsi="Microsoft YaHei" w:eastAsia="Microsoft YaHei" w:cs="Microsoft YaHei"/>
          <w:sz w:val="24"/>
          <w:szCs w:val="24"/>
          <w:color w:val="0B0B0B"/>
          <w:spacing w:val="63"/>
          <w:w w:val="101"/>
        </w:rPr>
        <w:t xml:space="preserve"> </w:t>
      </w:r>
      <w:r>
        <w:rPr>
          <w:rFonts w:ascii="Microsoft YaHei" w:hAnsi="Microsoft YaHei" w:eastAsia="Microsoft YaHei" w:cs="Microsoft YaHei"/>
          <w:sz w:val="24"/>
          <w:szCs w:val="24"/>
          <w:color w:val="0B0B0B"/>
          <w:spacing w:val="-6"/>
        </w:rPr>
        <w:t>于秉南</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5"/>
        </w:rPr>
        <w:t>联系电话： 010-68518910</w:t>
      </w:r>
    </w:p>
    <w:p>
      <w:pPr>
        <w:ind w:left="1180" w:right="5173" w:hanging="38"/>
        <w:spacing w:before="7" w:line="347"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3"/>
        </w:rPr>
        <w:t>通讯地址： 北京市西城区月坛南街14号月新大厦2层</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12"/>
        </w:rPr>
        <w:t>（邮编：</w:t>
      </w:r>
      <w:r>
        <w:rPr>
          <w:rFonts w:ascii="Microsoft YaHei" w:hAnsi="Microsoft YaHei" w:eastAsia="Microsoft YaHei" w:cs="Microsoft YaHei"/>
          <w:sz w:val="24"/>
          <w:szCs w:val="24"/>
          <w:color w:val="0B0B0B"/>
          <w:spacing w:val="20"/>
        </w:rPr>
        <w:t xml:space="preserve"> </w:t>
      </w:r>
      <w:r>
        <w:rPr>
          <w:rFonts w:ascii="Microsoft YaHei" w:hAnsi="Microsoft YaHei" w:eastAsia="Microsoft YaHei" w:cs="Microsoft YaHei"/>
          <w:sz w:val="24"/>
          <w:szCs w:val="24"/>
          <w:color w:val="0B0B0B"/>
          <w:spacing w:val="-12"/>
        </w:rPr>
        <w:t>100045）</w:t>
      </w:r>
    </w:p>
    <w:p>
      <w:pPr>
        <w:ind w:left="1155"/>
        <w:spacing w:before="1" w:line="20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4"/>
        </w:rPr>
        <w:t>电子邮箱： comments@casc.org.cn</w:t>
      </w:r>
    </w:p>
    <w:p>
      <w:pPr>
        <w:ind w:left="9678" w:right="548" w:firstLine="113"/>
        <w:spacing w:before="302" w:line="36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1"/>
        </w:rPr>
        <w:t>财政部会计师</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2"/>
        </w:rPr>
        <w:t>2024年8月7日</w:t>
      </w:r>
    </w:p>
    <w:p>
      <w:pPr>
        <w:spacing w:line="360" w:lineRule="auto"/>
        <w:sectPr>
          <w:headerReference w:type="default" r:id="rId2"/>
          <w:pgSz w:w="11910" w:h="16840"/>
          <w:pgMar w:top="10" w:right="134" w:bottom="0" w:left="0" w:header="0" w:footer="0" w:gutter="0"/>
        </w:sectPr>
        <w:rPr>
          <w:rFonts w:ascii="Microsoft YaHei" w:hAnsi="Microsoft YaHei" w:eastAsia="Microsoft YaHei" w:cs="Microsoft YaHei"/>
          <w:sz w:val="24"/>
          <w:szCs w:val="24"/>
        </w:rPr>
      </w:pPr>
    </w:p>
    <w:p>
      <w:pPr>
        <w:ind w:firstLine="3579"/>
        <w:spacing w:before="216" w:line="3120" w:lineRule="exact"/>
        <w:rPr/>
      </w:pPr>
      <w:r>
        <w:rPr>
          <w:position w:val="-62"/>
        </w:rPr>
        <w:drawing>
          <wp:inline distT="0" distB="0" distL="0" distR="0">
            <wp:extent cx="1990344" cy="1981200"/>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990344" cy="1981200"/>
                    </a:xfrm>
                    <a:prstGeom prst="rect">
                      <a:avLst/>
                    </a:prstGeom>
                  </pic:spPr>
                </pic:pic>
              </a:graphicData>
            </a:graphic>
          </wp:inline>
        </w:drawing>
      </w:r>
    </w:p>
    <w:p>
      <w:pPr>
        <w:pStyle w:val="BodyText"/>
        <w:spacing w:line="345" w:lineRule="auto"/>
        <w:rPr/>
      </w:pPr>
      <w:r/>
    </w:p>
    <w:p>
      <w:pPr>
        <w:spacing w:before="103" w:line="184" w:lineRule="auto"/>
        <w:jc w:val="right"/>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0B0B0B"/>
        </w:rPr>
        <w:t>关于就国际会计准则理事会发布的财务报表中的气候和其他不确定性征求意见稿公开征</w:t>
      </w:r>
      <w:r>
        <w:rPr>
          <w:rFonts w:ascii="Microsoft YaHei" w:hAnsi="Microsoft YaHei" w:eastAsia="Microsoft YaHei" w:cs="Microsoft YaHei"/>
          <w:sz w:val="24"/>
          <w:szCs w:val="24"/>
          <w:b/>
          <w:bCs/>
          <w:color w:val="0B0B0B"/>
          <w:spacing w:val="-1"/>
        </w:rPr>
        <w:t>求意见的函</w:t>
      </w:r>
    </w:p>
    <w:p>
      <w:pPr>
        <w:spacing w:line="184" w:lineRule="auto"/>
        <w:sectPr>
          <w:pgSz w:w="11910" w:h="16840"/>
          <w:pgMar w:top="400" w:right="894" w:bottom="0" w:left="699" w:header="0" w:footer="0" w:gutter="0"/>
        </w:sectPr>
        <w:rPr>
          <w:rFonts w:ascii="Microsoft YaHei" w:hAnsi="Microsoft YaHei" w:eastAsia="Microsoft YaHei" w:cs="Microsoft YaHei"/>
          <w:sz w:val="24"/>
          <w:szCs w:val="24"/>
        </w:rPr>
      </w:pPr>
    </w:p>
    <w:p>
      <w:pPr>
        <w:spacing w:line="1137" w:lineRule="exact"/>
        <w:rPr/>
      </w:pPr>
      <w:r>
        <w:rPr>
          <w:position w:val="-22"/>
        </w:rPr>
        <w:pict>
          <v:group id="_x0000_s2" style="mso-position-vertical-relative:line;mso-position-horizontal-relative:char;width:67.85pt;height:56.9pt;" filled="false" stroked="false" coordsize="1356,1138" coordorigin="0,0">
            <v:shape id="_x0000_s4" style="position:absolute;left:0;top:0;width:1356;height:1138;" fillcolor="#A61C1F" filled="true" stroked="false" coordsize="1356,1138" coordorigin="0,0" path="m,l1356,0l1356,1137l0,1137l0,0xe"/>
            <v:shape id="_x0000_s6" style="position:absolute;left:237;top:113;width:819;height:911;" fillcolor="#FFFFFF" filled="true" stroked="false" coordsize="819,911" coordorigin="0,0" path="m594,776l223,776l213,770l213,730l223,725l594,725l604,730l604,770l594,776xm582,707l237,707l225,698l225,687l213,635l180,583l136,532l88,480l45,423l12,361l0,297l0,290l5,237l22,187l50,143l84,105l127,72l176,46l230,25l287,10l347,2l409,0l470,2l530,10l587,25l641,46l690,72l733,105l736,108l366,108l358,116l358,125l354,148l353,151l233,151l202,175l190,185l177,195l172,200l172,208l177,215l207,242l210,245l210,248l202,258l196,268l190,280l185,290l185,291l183,291l182,293l170,293l124,297l116,302l116,370l124,375l136,376l182,381l183,381l185,382l185,385l190,395l196,405l202,415l210,425l210,428l200,437l192,445l177,460l172,465l172,473l177,480l225,516l233,521l353,521l356,538l358,548l358,558l366,565l648,565l637,577l604,630l592,687l592,698l582,707xm526,182l523,181l497,171l483,167l469,165l467,165l467,162l466,160l466,148l462,136l462,125l459,116l452,108l736,108l768,143l773,151l587,151l574,153l567,157l530,181l528,181l526,182xm293,182l292,181l290,181l280,175l270,170l262,163l252,157l243,153l233,151l353,151l352,160l352,162l350,165l348,165l334,167l322,171l307,176l294,181l293,182xm686,521l587,521l648,473l646,465l640,460l626,445l617,437l608,428l608,427l610,425l617,415l622,405l627,395l632,385l632,382l634,381l638,381l683,376l693,375l703,370l703,302l693,297l683,296l648,293l638,293l634,291l632,291l632,290l627,280l622,268l617,258l610,248l608,247l608,245l610,242l640,215l646,208l648,200l640,195l628,185l617,175l592,157l587,151l773,151l796,187l813,237l818,290l818,297l806,361l773,421l730,475l686,521xm410,447l354,438l308,415l278,380l267,336l278,295l308,260l354,235l410,227l464,235l509,260l539,295l550,336l539,380l509,415l464,438l410,447xm353,521l243,521l252,515l262,510l270,505l280,500l290,493l292,491l294,491l307,497l322,502l334,505l348,508l352,511l352,515l353,521xm648,565l452,565l459,558l462,548l462,538l466,525l466,513l467,511l467,510l469,508l497,502l510,497l523,491l528,491l530,493l539,500l548,505l557,510l567,515l574,521l686,521l681,526l648,565xm560,911l257,911l247,905l247,865l257,858l560,858l570,865l570,905l560,911xm582,845l235,845l227,838l227,796l235,790l582,790l592,796l592,838l582,845e"/>
          </v:group>
        </w:pict>
      </w:r>
    </w:p>
    <w:p>
      <w:pPr>
        <w:pStyle w:val="BodyText"/>
        <w:spacing w:line="14" w:lineRule="auto"/>
        <w:rPr>
          <w:sz w:val="2"/>
        </w:rPr>
      </w:pPr>
      <w:r>
        <w:rPr>
          <w:sz w:val="2"/>
          <w:szCs w:val="2"/>
        </w:rPr>
        <w:br w:type="column"/>
      </w:r>
    </w:p>
    <w:p>
      <w:pPr>
        <w:spacing w:before="305"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69" w:bottom="0" w:left="4" w:header="0" w:footer="0" w:gutter="0"/>
          <w:cols w:equalWidth="0" w:num="2">
            <w:col w:w="1499" w:space="100"/>
            <w:col w:w="10239" w:space="0"/>
          </w:cols>
        </w:sectPr>
        <w:rPr>
          <w:rFonts w:ascii="Microsoft YaHei" w:hAnsi="Microsoft YaHei" w:eastAsia="Microsoft YaHei" w:cs="Microsoft YaHei"/>
          <w:sz w:val="43"/>
          <w:szCs w:val="43"/>
        </w:rPr>
      </w:pPr>
    </w:p>
    <w:p>
      <w:pPr>
        <w:pStyle w:val="BodyText"/>
        <w:spacing w:line="424" w:lineRule="auto"/>
        <w:rPr/>
      </w:pPr>
      <w:r>
        <w:drawing>
          <wp:anchor distT="0" distB="0" distL="0" distR="0" simplePos="0" relativeHeight="251661312" behindDoc="0" locked="0" layoutInCell="1" allowOverlap="1">
            <wp:simplePos x="0" y="0"/>
            <wp:positionH relativeFrom="column">
              <wp:posOffset>840867</wp:posOffset>
            </wp:positionH>
            <wp:positionV relativeFrom="paragraph">
              <wp:posOffset>-34022</wp:posOffset>
            </wp:positionV>
            <wp:extent cx="6675119" cy="32244"/>
            <wp:effectExtent l="0" t="0" r="0" b="0"/>
            <wp:wrapNone/>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6675119" cy="32244"/>
                    </a:xfrm>
                    <a:prstGeom prst="rect">
                      <a:avLst/>
                    </a:prstGeom>
                  </pic:spPr>
                </pic:pic>
              </a:graphicData>
            </a:graphic>
          </wp:anchor>
        </w:drawing>
      </w:r>
      <w:r/>
    </w:p>
    <w:p>
      <w:pPr>
        <w:ind w:firstLine="16"/>
        <w:spacing w:line="924" w:lineRule="exact"/>
        <w:rPr/>
      </w:pPr>
      <w:r>
        <w:drawing>
          <wp:anchor distT="0" distB="0" distL="0" distR="0" simplePos="0" relativeHeight="251660288" behindDoc="0" locked="0" layoutInCell="1" allowOverlap="1">
            <wp:simplePos x="0" y="0"/>
            <wp:positionH relativeFrom="column">
              <wp:posOffset>36321</wp:posOffset>
            </wp:positionH>
            <wp:positionV relativeFrom="paragraph">
              <wp:posOffset>655438</wp:posOffset>
            </wp:positionV>
            <wp:extent cx="3677920" cy="2543175"/>
            <wp:effectExtent l="0" t="0" r="0" b="0"/>
            <wp:wrapNone/>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3677920" cy="2543175"/>
                    </a:xfrm>
                    <a:prstGeom prst="rect">
                      <a:avLst/>
                    </a:prstGeom>
                  </pic:spPr>
                </pic:pic>
              </a:graphicData>
            </a:graphic>
          </wp:anchor>
        </w:drawing>
      </w:r>
      <w:r>
        <w:rPr>
          <w:position w:val="-18"/>
        </w:rPr>
        <w:pict>
          <v:group id="_x0000_s8" style="mso-position-vertical-relative:line;mso-position-horizontal-relative:char;width:134.3pt;height:46.25pt;" filled="false" stroked="false" coordsize="2686,925" coordorigin="0,0">
            <v:shape id="_x0000_s10" style="position:absolute;left:0;top:0;width:2686;height:925;" filled="false" stroked="false" type="#_x0000_t75">
              <v:imagedata o:title="" r:id="rId8"/>
            </v:shape>
            <v:shape id="_x0000_s12" style="position:absolute;left:-20;top:-20;width:2726;height:965;" filled="false" stroked="false" type="#_x0000_t202">
              <v:fill on="false"/>
              <v:stroke on="false"/>
              <v:path/>
              <v:imagedata o:title=""/>
              <o:lock v:ext="edit" aspectratio="false"/>
              <v:textbox inset="0mm,0mm,0mm,0mm">
                <w:txbxContent>
                  <w:p>
                    <w:pPr>
                      <w:ind w:left="483"/>
                      <w:spacing w:before="246"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2"/>
                      </w:rPr>
                      <w:t>市场监管概览</w:t>
                    </w:r>
                  </w:p>
                </w:txbxContent>
              </v:textbox>
            </v:shape>
          </v:group>
        </w:pict>
      </w:r>
    </w:p>
    <w:p>
      <w:pPr>
        <w:ind w:left="6156" w:right="592" w:firstLine="488"/>
        <w:spacing w:before="214" w:line="35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2024年8月5日-8月11</w:t>
      </w:r>
      <w:r>
        <w:rPr>
          <w:rFonts w:ascii="Microsoft YaHei" w:hAnsi="Microsoft YaHei" w:eastAsia="Microsoft YaHei" w:cs="Microsoft YaHei"/>
          <w:sz w:val="24"/>
          <w:szCs w:val="24"/>
          <w:spacing w:val="-8"/>
        </w:rPr>
        <w:t xml:space="preserve"> </w:t>
      </w:r>
      <w:r>
        <w:rPr>
          <w:rFonts w:ascii="Microsoft YaHei" w:hAnsi="Microsoft YaHei" w:eastAsia="Microsoft YaHei" w:cs="Microsoft YaHei"/>
          <w:sz w:val="24"/>
          <w:szCs w:val="24"/>
          <w:spacing w:val="3"/>
        </w:rPr>
        <w:t>日， 证监会作出7份</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6"/>
        </w:rPr>
        <w:t>监管文书； 证监局作出29份监管文书； 上交所作</w:t>
      </w:r>
      <w:r>
        <w:rPr>
          <w:rFonts w:ascii="Microsoft YaHei" w:hAnsi="Microsoft YaHei" w:eastAsia="Microsoft YaHei" w:cs="Microsoft YaHei"/>
          <w:sz w:val="24"/>
          <w:szCs w:val="24"/>
          <w:spacing w:val="7"/>
        </w:rPr>
        <w:t xml:space="preserve"> </w:t>
      </w:r>
      <w:r>
        <w:rPr>
          <w:rFonts w:ascii="Microsoft YaHei" w:hAnsi="Microsoft YaHei" w:eastAsia="Microsoft YaHei" w:cs="Microsoft YaHei"/>
          <w:sz w:val="24"/>
          <w:szCs w:val="24"/>
          <w:spacing w:val="-4"/>
        </w:rPr>
        <w:t>出7份监管文书； 深交所作出11份监管文书。</w:t>
      </w:r>
    </w:p>
    <w:p>
      <w:pPr>
        <w:ind w:left="6154" w:right="592" w:firstLine="491"/>
        <w:spacing w:before="4" w:line="358" w:lineRule="auto"/>
        <w:jc w:val="both"/>
        <w:rPr>
          <w:rFonts w:ascii="Microsoft YaHei" w:hAnsi="Microsoft YaHei" w:eastAsia="Microsoft YaHei" w:cs="Microsoft YaHei"/>
          <w:sz w:val="24"/>
          <w:szCs w:val="24"/>
        </w:rPr>
      </w:pPr>
      <w:r>
        <w:drawing>
          <wp:anchor distT="0" distB="0" distL="0" distR="0" simplePos="0" relativeHeight="251659264" behindDoc="0" locked="0" layoutInCell="1" allowOverlap="1">
            <wp:simplePos x="0" y="0"/>
            <wp:positionH relativeFrom="column">
              <wp:posOffset>295719</wp:posOffset>
            </wp:positionH>
            <wp:positionV relativeFrom="paragraph">
              <wp:posOffset>1482505</wp:posOffset>
            </wp:positionV>
            <wp:extent cx="3506470" cy="2780029"/>
            <wp:effectExtent l="0" t="0" r="0" b="0"/>
            <wp:wrapNone/>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3506470" cy="2780029"/>
                    </a:xfrm>
                    <a:prstGeom prst="rect">
                      <a:avLst/>
                    </a:prstGeom>
                  </pic:spPr>
                </pic:pic>
              </a:graphicData>
            </a:graphic>
          </wp:anchor>
        </w:drawing>
      </w:r>
      <w:r>
        <w:rPr>
          <w:rFonts w:ascii="Microsoft YaHei" w:hAnsi="Microsoft YaHei" w:eastAsia="Microsoft YaHei" w:cs="Microsoft YaHei"/>
          <w:sz w:val="24"/>
          <w:szCs w:val="24"/>
          <w:spacing w:val="3"/>
        </w:rPr>
        <w:t>2024年8月5日-8月11</w:t>
      </w:r>
      <w:r>
        <w:rPr>
          <w:rFonts w:ascii="Microsoft YaHei" w:hAnsi="Microsoft YaHei" w:eastAsia="Microsoft YaHei" w:cs="Microsoft YaHei"/>
          <w:sz w:val="24"/>
          <w:szCs w:val="24"/>
          <w:spacing w:val="-8"/>
        </w:rPr>
        <w:t xml:space="preserve"> </w:t>
      </w:r>
      <w:r>
        <w:rPr>
          <w:rFonts w:ascii="Microsoft YaHei" w:hAnsi="Microsoft YaHei" w:eastAsia="Microsoft YaHei" w:cs="Microsoft YaHei"/>
          <w:sz w:val="24"/>
          <w:szCs w:val="24"/>
          <w:spacing w:val="3"/>
        </w:rPr>
        <w:t>日， 证监会对7个对</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6"/>
        </w:rPr>
        <w:t>象立案调查； 证监局作出5份行政处罚决定书， 2</w:t>
      </w:r>
      <w:r>
        <w:rPr>
          <w:rFonts w:ascii="Microsoft YaHei" w:hAnsi="Microsoft YaHei" w:eastAsia="Microsoft YaHei" w:cs="Microsoft YaHei"/>
          <w:sz w:val="24"/>
          <w:szCs w:val="24"/>
          <w:spacing w:val="8"/>
        </w:rPr>
        <w:t xml:space="preserve"> </w:t>
      </w:r>
      <w:r>
        <w:rPr>
          <w:rFonts w:ascii="Microsoft YaHei" w:hAnsi="Microsoft YaHei" w:eastAsia="Microsoft YaHei" w:cs="Microsoft YaHei"/>
          <w:sz w:val="24"/>
          <w:szCs w:val="24"/>
          <w:spacing w:val="-3"/>
        </w:rPr>
        <w:t>份行政处罚事先告知书， 22份行政监管措施决定</w:t>
      </w:r>
      <w:r>
        <w:rPr>
          <w:rFonts w:ascii="Microsoft YaHei" w:hAnsi="Microsoft YaHei" w:eastAsia="Microsoft YaHei" w:cs="Microsoft YaHei"/>
          <w:sz w:val="24"/>
          <w:szCs w:val="24"/>
          <w:spacing w:val="5"/>
        </w:rPr>
        <w:t xml:space="preserve"> </w:t>
      </w:r>
      <w:r>
        <w:rPr>
          <w:rFonts w:ascii="Microsoft YaHei" w:hAnsi="Microsoft YaHei" w:eastAsia="Microsoft YaHei" w:cs="Microsoft YaHei"/>
          <w:sz w:val="24"/>
          <w:szCs w:val="24"/>
          <w:spacing w:val="-2"/>
        </w:rPr>
        <w:t>书。</w:t>
      </w:r>
    </w:p>
    <w:p>
      <w:pPr>
        <w:ind w:left="6153" w:right="592" w:firstLine="492"/>
        <w:spacing w:before="10" w:line="360"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1"/>
        </w:rPr>
        <w:t>2024年8月5日-8月11</w:t>
      </w:r>
      <w:r>
        <w:rPr>
          <w:rFonts w:ascii="Microsoft YaHei" w:hAnsi="Microsoft YaHei" w:eastAsia="Microsoft YaHei" w:cs="Microsoft YaHei"/>
          <w:sz w:val="24"/>
          <w:szCs w:val="24"/>
          <w:spacing w:val="-11"/>
        </w:rPr>
        <w:t xml:space="preserve"> </w:t>
      </w:r>
      <w:r>
        <w:rPr>
          <w:rFonts w:ascii="Microsoft YaHei" w:hAnsi="Microsoft YaHei" w:eastAsia="Microsoft YaHei" w:cs="Microsoft YaHei"/>
          <w:sz w:val="24"/>
          <w:szCs w:val="24"/>
          <w:spacing w:val="-1"/>
        </w:rPr>
        <w:t>日， 上交所公司监管</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部门作出6份监管警示函， 对1宗行为予以纪律处</w:t>
      </w:r>
      <w:r>
        <w:rPr>
          <w:rFonts w:ascii="Microsoft YaHei" w:hAnsi="Microsoft YaHei" w:eastAsia="Microsoft YaHei" w:cs="Microsoft YaHei"/>
          <w:sz w:val="24"/>
          <w:szCs w:val="24"/>
          <w:spacing w:val="6"/>
        </w:rPr>
        <w:t xml:space="preserve"> </w:t>
      </w:r>
      <w:r>
        <w:rPr>
          <w:rFonts w:ascii="Microsoft YaHei" w:hAnsi="Microsoft YaHei" w:eastAsia="Microsoft YaHei" w:cs="Microsoft YaHei"/>
          <w:sz w:val="24"/>
          <w:szCs w:val="24"/>
          <w:spacing w:val="7"/>
        </w:rPr>
        <w:t>分</w:t>
      </w:r>
      <w:r>
        <w:rPr>
          <w:rFonts w:ascii="Microsoft YaHei" w:hAnsi="Microsoft YaHei" w:eastAsia="Microsoft YaHei" w:cs="Microsoft YaHei"/>
          <w:sz w:val="24"/>
          <w:szCs w:val="24"/>
          <w:spacing w:val="-36"/>
        </w:rPr>
        <w:t xml:space="preserve"> </w:t>
      </w:r>
      <w:r>
        <w:rPr>
          <w:rFonts w:ascii="Microsoft YaHei" w:hAnsi="Microsoft YaHei" w:eastAsia="Microsoft YaHei" w:cs="Microsoft YaHei"/>
          <w:sz w:val="24"/>
          <w:szCs w:val="24"/>
          <w:spacing w:val="7"/>
        </w:rPr>
        <w:t>。</w:t>
      </w:r>
      <w:r>
        <w:rPr>
          <w:rFonts w:ascii="Microsoft YaHei" w:hAnsi="Microsoft YaHei" w:eastAsia="Microsoft YaHei" w:cs="Microsoft YaHei"/>
          <w:sz w:val="24"/>
          <w:szCs w:val="24"/>
          <w:spacing w:val="-35"/>
        </w:rPr>
        <w:t xml:space="preserve"> </w:t>
      </w:r>
      <w:r>
        <w:rPr>
          <w:rFonts w:ascii="Microsoft YaHei" w:hAnsi="Microsoft YaHei" w:eastAsia="Microsoft YaHei" w:cs="Microsoft YaHei"/>
          <w:sz w:val="24"/>
          <w:szCs w:val="24"/>
          <w:spacing w:val="7"/>
        </w:rPr>
        <w:t>同时， 加大信息披露和股价异常的联动监</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1"/>
        </w:rPr>
        <w:t>管， 针对公司披露敏感信息或股价发生明显异常</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的， 提请启动内幕交易、异常交易核查3单。</w:t>
      </w:r>
    </w:p>
    <w:p>
      <w:pPr>
        <w:ind w:left="6119" w:right="592" w:firstLine="490"/>
        <w:spacing w:before="3" w:line="24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4"/>
        </w:rPr>
        <w:t>2024年8月5日-8月11</w:t>
      </w:r>
      <w:r>
        <w:rPr>
          <w:rFonts w:ascii="Microsoft YaHei" w:hAnsi="Microsoft YaHei" w:eastAsia="Microsoft YaHei" w:cs="Microsoft YaHei"/>
          <w:sz w:val="24"/>
          <w:szCs w:val="24"/>
          <w:spacing w:val="-34"/>
        </w:rPr>
        <w:t xml:space="preserve"> </w:t>
      </w:r>
      <w:r>
        <w:rPr>
          <w:rFonts w:ascii="Microsoft YaHei" w:hAnsi="Microsoft YaHei" w:eastAsia="Microsoft YaHei" w:cs="Microsoft YaHei"/>
          <w:sz w:val="24"/>
          <w:szCs w:val="24"/>
          <w:spacing w:val="-4"/>
        </w:rPr>
        <w:t>日， 深交</w:t>
      </w:r>
      <w:r>
        <w:rPr>
          <w:rFonts w:ascii="Microsoft YaHei" w:hAnsi="Microsoft YaHei" w:eastAsia="Microsoft YaHei" w:cs="Microsoft YaHei"/>
          <w:sz w:val="24"/>
          <w:szCs w:val="24"/>
          <w:spacing w:val="-5"/>
        </w:rPr>
        <w:t>所发出9份监</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6"/>
        </w:rPr>
        <w:t>管函， 2份纪律处分措施。</w:t>
      </w:r>
    </w:p>
    <w:p>
      <w:pPr>
        <w:spacing w:line="249" w:lineRule="auto"/>
        <w:sectPr>
          <w:type w:val="continuous"/>
          <w:pgSz w:w="11910" w:h="16840"/>
          <w:pgMar w:top="9" w:right="69" w:bottom="0" w:left="4" w:header="0" w:footer="0" w:gutter="0"/>
          <w:cols w:equalWidth="0" w:num="1">
            <w:col w:w="11837" w:space="0"/>
          </w:cols>
        </w:sectPr>
        <w:rPr>
          <w:rFonts w:ascii="Microsoft YaHei" w:hAnsi="Microsoft YaHei" w:eastAsia="Microsoft YaHei" w:cs="Microsoft YaHei"/>
          <w:sz w:val="24"/>
          <w:szCs w:val="24"/>
        </w:rPr>
      </w:pPr>
    </w:p>
    <w:p>
      <w:pPr>
        <w:ind w:firstLine="14"/>
        <w:spacing w:line="1137" w:lineRule="exact"/>
        <w:rPr/>
      </w:pPr>
      <w:r>
        <w:rPr>
          <w:position w:val="-22"/>
        </w:rPr>
        <w:pict>
          <v:group id="_x0000_s14" style="mso-position-vertical-relative:line;mso-position-horizontal-relative:char;width:67.85pt;height:56.9pt;" filled="false" stroked="false" coordsize="1356,1138" coordorigin="0,0">
            <v:shape id="_x0000_s16" style="position:absolute;left:0;top:0;width:1356;height:1138;" fillcolor="#A61C1F" filled="true" stroked="false" coordsize="1356,1138" coordorigin="0,0" path="m,l1356,0l1356,1137l0,1137l0,0xe"/>
            <v:shape id="_x0000_s18"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p>
    <w:p>
      <w:pPr>
        <w:pStyle w:val="BodyText"/>
        <w:spacing w:line="14" w:lineRule="auto"/>
        <w:rPr>
          <w:sz w:val="2"/>
        </w:rPr>
      </w:pPr>
      <w:r>
        <w:rPr>
          <w:sz w:val="2"/>
          <w:szCs w:val="2"/>
        </w:rPr>
        <w:br w:type="column"/>
      </w:r>
    </w:p>
    <w:p>
      <w:pPr>
        <w:spacing w:before="302"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59" w:bottom="0" w:left="0" w:header="0" w:footer="0" w:gutter="0"/>
          <w:cols w:equalWidth="0" w:num="2">
            <w:col w:w="1568" w:space="100"/>
            <w:col w:w="10184" w:space="0"/>
          </w:cols>
        </w:sectPr>
        <w:rPr>
          <w:rFonts w:ascii="Microsoft YaHei" w:hAnsi="Microsoft YaHei" w:eastAsia="Microsoft YaHei" w:cs="Microsoft YaHei"/>
          <w:sz w:val="43"/>
          <w:szCs w:val="43"/>
        </w:rPr>
      </w:pPr>
    </w:p>
    <w:p>
      <w:pPr>
        <w:pStyle w:val="BodyText"/>
        <w:spacing w:line="417" w:lineRule="auto"/>
        <w:rPr/>
      </w:pPr>
      <w:r>
        <w:drawing>
          <wp:anchor distT="0" distB="0" distL="0" distR="0" simplePos="0" relativeHeight="251662336" behindDoc="0" locked="0" layoutInCell="1" allowOverlap="1">
            <wp:simplePos x="0" y="0"/>
            <wp:positionH relativeFrom="column">
              <wp:posOffset>850265</wp:posOffset>
            </wp:positionH>
            <wp:positionV relativeFrom="paragraph">
              <wp:posOffset>-34658</wp:posOffset>
            </wp:positionV>
            <wp:extent cx="6675119" cy="32245"/>
            <wp:effectExtent l="0" t="0" r="0" b="0"/>
            <wp:wrapNone/>
            <wp:docPr id="16" name="IM 16"/>
            <wp:cNvGraphicFramePr/>
            <a:graphic>
              <a:graphicData uri="http://schemas.openxmlformats.org/drawingml/2006/picture">
                <pic:pic>
                  <pic:nvPicPr>
                    <pic:cNvPr id="16" name="IM 16"/>
                    <pic:cNvPicPr/>
                  </pic:nvPicPr>
                  <pic:blipFill>
                    <a:blip r:embed="rId10"/>
                    <a:stretch>
                      <a:fillRect/>
                    </a:stretch>
                  </pic:blipFill>
                  <pic:spPr>
                    <a:xfrm rot="0">
                      <a:off x="0" y="0"/>
                      <a:ext cx="6675119" cy="32245"/>
                    </a:xfrm>
                    <a:prstGeom prst="rect">
                      <a:avLst/>
                    </a:prstGeom>
                  </pic:spPr>
                </pic:pic>
              </a:graphicData>
            </a:graphic>
          </wp:anchor>
        </w:drawing>
      </w:r>
      <w:r/>
    </w:p>
    <w:p>
      <w:pPr>
        <w:spacing w:line="924" w:lineRule="exact"/>
        <w:rPr/>
      </w:pPr>
      <w:r>
        <w:rPr>
          <w:position w:val="-18"/>
        </w:rPr>
        <w:pict>
          <v:group id="_x0000_s20" style="mso-position-vertical-relative:line;mso-position-horizontal-relative:char;width:188.3pt;height:46.25pt;" filled="false" stroked="false" coordsize="3766,925" coordorigin="0,0">
            <v:shape id="_x0000_s22" style="position:absolute;left:0;top:0;width:3766;height:925;" filled="false" stroked="false" type="#_x0000_t75">
              <v:imagedata o:title="" r:id="rId11"/>
            </v:shape>
            <v:shape id="_x0000_s24" style="position:absolute;left:-20;top:-20;width:3806;height:965;" filled="false" stroked="false" type="#_x0000_t202">
              <v:fill on="false"/>
              <v:stroke on="false"/>
              <v:path/>
              <v:imagedata o:title=""/>
              <o:lock v:ext="edit" aspectratio="false"/>
              <v:textbox inset="0mm,0mm,0mm,0mm">
                <w:txbxContent>
                  <w:p>
                    <w:pPr>
                      <w:ind w:left="387"/>
                      <w:spacing w:before="299"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证监会证监局监管动态</w:t>
                    </w:r>
                  </w:p>
                </w:txbxContent>
              </v:textbox>
            </v:shape>
          </v:group>
        </w:pict>
      </w:r>
    </w:p>
    <w:p>
      <w:pPr>
        <w:pStyle w:val="BodyText"/>
        <w:spacing w:line="393" w:lineRule="auto"/>
        <w:rPr/>
      </w:pPr>
      <w:r/>
    </w:p>
    <w:p>
      <w:pPr>
        <w:ind w:left="441" w:right="583" w:firstLine="491"/>
        <w:spacing w:before="103" w:line="36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2024年8月5日-8月11</w:t>
      </w:r>
      <w:r>
        <w:rPr>
          <w:rFonts w:ascii="Microsoft YaHei" w:hAnsi="Microsoft YaHei" w:eastAsia="Microsoft YaHei" w:cs="Microsoft YaHei"/>
          <w:sz w:val="24"/>
          <w:szCs w:val="24"/>
          <w:spacing w:val="-31"/>
        </w:rPr>
        <w:t xml:space="preserve"> </w:t>
      </w:r>
      <w:r>
        <w:rPr>
          <w:rFonts w:ascii="Microsoft YaHei" w:hAnsi="Microsoft YaHei" w:eastAsia="Microsoft YaHei" w:cs="Microsoft YaHei"/>
          <w:sz w:val="24"/>
          <w:szCs w:val="24"/>
          <w:spacing w:val="-2"/>
        </w:rPr>
        <w:t>日， 证监会对7个对象立案调查； 证监局作出5份行政处</w:t>
      </w:r>
      <w:r>
        <w:rPr>
          <w:rFonts w:ascii="Microsoft YaHei" w:hAnsi="Microsoft YaHei" w:eastAsia="Microsoft YaHei" w:cs="Microsoft YaHei"/>
          <w:sz w:val="24"/>
          <w:szCs w:val="24"/>
          <w:spacing w:val="-3"/>
        </w:rPr>
        <w:t>罚决定书， 2份行政</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处罚事先告知书， 22份行政监管措施决定书。</w:t>
      </w:r>
    </w:p>
    <w:p>
      <w:pPr>
        <w:ind w:left="757"/>
        <w:spacing w:before="26"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rPr>
        <w:t>（1） 行政处罚决定书</w:t>
      </w:r>
    </w:p>
    <w:p>
      <w:pPr>
        <w:spacing w:line="185" w:lineRule="exact"/>
        <w:rPr/>
      </w:pPr>
      <w:r/>
    </w:p>
    <w:tbl>
      <w:tblPr>
        <w:tblStyle w:val="TableNormal"/>
        <w:tblW w:w="8706" w:type="dxa"/>
        <w:tblInd w:w="150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12"/>
        <w:gridCol w:w="1452"/>
        <w:gridCol w:w="5942"/>
      </w:tblGrid>
      <w:tr>
        <w:trPr>
          <w:trHeight w:val="387" w:hRule="atLeast"/>
        </w:trPr>
        <w:tc>
          <w:tcPr>
            <w:shd w:val="clear" w:fill="4F81BD"/>
            <w:tcW w:w="1312" w:type="dxa"/>
            <w:vAlign w:val="top"/>
            <w:tcBorders>
              <w:bottom w:val="single" w:color="FFFFFF" w:sz="2" w:space="0"/>
            </w:tcBorders>
          </w:tcPr>
          <w:p>
            <w:pPr>
              <w:pStyle w:val="TableText"/>
              <w:ind w:left="229"/>
              <w:spacing w:before="109" w:line="187" w:lineRule="auto"/>
              <w:rPr/>
            </w:pPr>
            <w:r>
              <w:rPr>
                <w:b/>
                <w:bCs/>
                <w:color w:val="FFFFFF"/>
                <w:spacing w:val="8"/>
              </w:rPr>
              <w:t>公司代码</w:t>
            </w:r>
          </w:p>
        </w:tc>
        <w:tc>
          <w:tcPr>
            <w:shd w:val="clear" w:fill="4F81BD"/>
            <w:tcW w:w="1452" w:type="dxa"/>
            <w:vAlign w:val="top"/>
            <w:tcBorders>
              <w:bottom w:val="single" w:color="FFFFFF" w:sz="2" w:space="0"/>
            </w:tcBorders>
          </w:tcPr>
          <w:p>
            <w:pPr>
              <w:pStyle w:val="TableText"/>
              <w:ind w:left="297"/>
              <w:spacing w:before="109" w:line="187" w:lineRule="auto"/>
              <w:rPr/>
            </w:pPr>
            <w:r>
              <w:rPr>
                <w:b/>
                <w:bCs/>
                <w:color w:val="FFFFFF"/>
                <w:spacing w:val="8"/>
              </w:rPr>
              <w:t>公司简称</w:t>
            </w:r>
          </w:p>
        </w:tc>
        <w:tc>
          <w:tcPr>
            <w:shd w:val="clear" w:fill="4F81BD"/>
            <w:tcW w:w="5942" w:type="dxa"/>
            <w:vAlign w:val="top"/>
            <w:tcBorders>
              <w:bottom w:val="single" w:color="FFFFFF" w:sz="2" w:space="0"/>
            </w:tcBorders>
          </w:tcPr>
          <w:p>
            <w:pPr>
              <w:pStyle w:val="TableText"/>
              <w:ind w:left="2543"/>
              <w:spacing w:before="109" w:line="187" w:lineRule="auto"/>
              <w:rPr/>
            </w:pPr>
            <w:r>
              <w:rPr>
                <w:b/>
                <w:bCs/>
                <w:color w:val="FFFFFF"/>
                <w:spacing w:val="8"/>
              </w:rPr>
              <w:t>违规行为</w:t>
            </w:r>
          </w:p>
        </w:tc>
      </w:tr>
      <w:tr>
        <w:trPr>
          <w:trHeight w:val="729" w:hRule="atLeast"/>
        </w:trPr>
        <w:tc>
          <w:tcPr>
            <w:shd w:val="clear" w:fill="B8CCE4"/>
            <w:tcW w:w="1312" w:type="dxa"/>
            <w:vAlign w:val="top"/>
            <w:tcBorders>
              <w:top w:val="single" w:color="FFFFFF" w:sz="2" w:space="0"/>
            </w:tcBorders>
          </w:tcPr>
          <w:p>
            <w:pPr>
              <w:pStyle w:val="TableText"/>
              <w:ind w:left="290"/>
              <w:spacing w:before="280" w:line="179" w:lineRule="auto"/>
              <w:rPr/>
            </w:pPr>
            <w:r>
              <w:rPr>
                <w:spacing w:val="3"/>
              </w:rPr>
              <w:t>600711</w:t>
            </w:r>
          </w:p>
        </w:tc>
        <w:tc>
          <w:tcPr>
            <w:shd w:val="clear" w:fill="B8CCE4"/>
            <w:tcW w:w="1452" w:type="dxa"/>
            <w:vAlign w:val="top"/>
            <w:tcBorders>
              <w:top w:val="single" w:color="FFFFFF" w:sz="2" w:space="0"/>
            </w:tcBorders>
          </w:tcPr>
          <w:p>
            <w:pPr>
              <w:pStyle w:val="TableText"/>
              <w:ind w:left="395"/>
              <w:spacing w:before="266" w:line="189" w:lineRule="auto"/>
              <w:rPr/>
            </w:pPr>
            <w:r>
              <w:rPr/>
              <w:t>ST</w:t>
            </w:r>
            <w:r>
              <w:rPr>
                <w:spacing w:val="8"/>
              </w:rPr>
              <w:t>盛屯</w:t>
            </w:r>
          </w:p>
        </w:tc>
        <w:tc>
          <w:tcPr>
            <w:shd w:val="clear" w:fill="B8CCE4"/>
            <w:tcW w:w="5942" w:type="dxa"/>
            <w:vAlign w:val="top"/>
            <w:tcBorders>
              <w:top w:val="single" w:color="FFFFFF" w:sz="2" w:space="0"/>
            </w:tcBorders>
          </w:tcPr>
          <w:p>
            <w:pPr>
              <w:pStyle w:val="TableText"/>
              <w:ind w:left="100" w:right="153" w:firstLine="1"/>
              <w:spacing w:before="87" w:line="221" w:lineRule="auto"/>
              <w:rPr/>
            </w:pPr>
            <w:r>
              <w:rPr>
                <w:spacing w:val="7"/>
              </w:rPr>
              <w:t>盛屯矿业2021年、</w:t>
            </w:r>
            <w:r>
              <w:rPr>
                <w:spacing w:val="-20"/>
              </w:rPr>
              <w:t xml:space="preserve"> </w:t>
            </w:r>
            <w:r>
              <w:rPr>
                <w:spacing w:val="7"/>
              </w:rPr>
              <w:t>2022年年度报告和2023年半年度报告</w:t>
            </w:r>
            <w:r>
              <w:rPr>
                <w:b/>
                <w:bCs/>
                <w:spacing w:val="7"/>
              </w:rPr>
              <w:t>财务</w:t>
            </w:r>
            <w:r>
              <w:rPr>
                <w:b/>
                <w:bCs/>
              </w:rPr>
              <w:t xml:space="preserve"> </w:t>
            </w:r>
            <w:r>
              <w:rPr>
                <w:b/>
                <w:bCs/>
                <w:spacing w:val="8"/>
              </w:rPr>
              <w:t>报表数据存在错误。</w:t>
            </w:r>
          </w:p>
        </w:tc>
      </w:tr>
      <w:tr>
        <w:trPr>
          <w:trHeight w:val="1802" w:hRule="atLeast"/>
        </w:trPr>
        <w:tc>
          <w:tcPr>
            <w:tcW w:w="8706" w:type="dxa"/>
            <w:vAlign w:val="top"/>
            <w:gridSpan w:val="3"/>
          </w:tcPr>
          <w:p>
            <w:pPr>
              <w:pStyle w:val="TableText"/>
              <w:ind w:left="123"/>
              <w:spacing w:before="39" w:line="237" w:lineRule="auto"/>
              <w:rPr/>
            </w:pPr>
            <w:r>
              <w:rPr>
                <w:b/>
                <w:bCs/>
                <w:spacing w:val="7"/>
              </w:rPr>
              <w:t>【行政处罚决定】</w:t>
            </w:r>
            <w:r>
              <w:rPr>
                <w:b/>
                <w:bCs/>
                <w:spacing w:val="-12"/>
              </w:rPr>
              <w:t xml:space="preserve"> </w:t>
            </w:r>
            <w:r>
              <w:rPr>
                <w:spacing w:val="7"/>
              </w:rPr>
              <w:t>中国证券监督管理委员会厦门监管局决定：</w:t>
            </w:r>
          </w:p>
          <w:p>
            <w:pPr>
              <w:pStyle w:val="TableText"/>
              <w:ind w:left="125"/>
              <w:spacing w:before="64" w:line="189" w:lineRule="auto"/>
              <w:rPr/>
            </w:pPr>
            <w:r>
              <w:rPr>
                <w:spacing w:val="5"/>
              </w:rPr>
              <w:t>1、对盛屯矿业集团股份有限公司责令改正， 给予警告， 并处以300万元罚</w:t>
            </w:r>
            <w:r>
              <w:rPr>
                <w:spacing w:val="4"/>
              </w:rPr>
              <w:t>款；</w:t>
            </w:r>
          </w:p>
          <w:p>
            <w:pPr>
              <w:pStyle w:val="TableText"/>
              <w:ind w:left="106" w:right="103" w:firstLine="9"/>
              <w:spacing w:before="89" w:line="250" w:lineRule="auto"/>
              <w:rPr/>
            </w:pPr>
            <w:r>
              <w:rPr>
                <w:spacing w:val="10"/>
              </w:rPr>
              <w:t>2、对时任董事长,时任总经理张某鹏、</w:t>
            </w:r>
            <w:r>
              <w:rPr>
                <w:spacing w:val="-37"/>
              </w:rPr>
              <w:t xml:space="preserve"> </w:t>
            </w:r>
            <w:r>
              <w:rPr>
                <w:spacing w:val="10"/>
              </w:rPr>
              <w:t>时任董事长</w:t>
            </w:r>
            <w:r>
              <w:rPr>
                <w:spacing w:val="9"/>
              </w:rPr>
              <w:t>陈某、</w:t>
            </w:r>
            <w:r>
              <w:rPr>
                <w:spacing w:val="-37"/>
              </w:rPr>
              <w:t xml:space="preserve"> </w:t>
            </w:r>
            <w:r>
              <w:rPr>
                <w:spacing w:val="9"/>
              </w:rPr>
              <w:t>时任财务总监翁某给予警告， 并分</w:t>
            </w:r>
            <w:r>
              <w:rPr/>
              <w:t xml:space="preserve"> </w:t>
            </w:r>
            <w:r>
              <w:rPr>
                <w:spacing w:val="7"/>
              </w:rPr>
              <w:t>别处以150万元罚款；</w:t>
            </w:r>
          </w:p>
          <w:p>
            <w:pPr>
              <w:pStyle w:val="TableText"/>
              <w:ind w:left="118"/>
              <w:spacing w:before="4" w:line="189" w:lineRule="auto"/>
              <w:rPr/>
            </w:pPr>
            <w:r>
              <w:rPr>
                <w:spacing w:val="6"/>
              </w:rPr>
              <w:t>3、对时任总经理周某锦给予警告， 并处以100万元</w:t>
            </w:r>
            <w:r>
              <w:rPr>
                <w:spacing w:val="5"/>
              </w:rPr>
              <w:t>罚款。</w:t>
            </w:r>
          </w:p>
        </w:tc>
      </w:tr>
      <w:tr>
        <w:trPr>
          <w:trHeight w:val="364" w:hRule="atLeast"/>
        </w:trPr>
        <w:tc>
          <w:tcPr>
            <w:shd w:val="clear" w:fill="B8CCE4"/>
            <w:tcW w:w="1312" w:type="dxa"/>
            <w:vAlign w:val="top"/>
          </w:tcPr>
          <w:p>
            <w:pPr>
              <w:pStyle w:val="TableText"/>
              <w:ind w:left="293"/>
              <w:spacing w:before="100" w:line="177" w:lineRule="auto"/>
              <w:rPr/>
            </w:pPr>
            <w:r>
              <w:rPr>
                <w:spacing w:val="3"/>
              </w:rPr>
              <w:t>300300</w:t>
            </w:r>
          </w:p>
        </w:tc>
        <w:tc>
          <w:tcPr>
            <w:shd w:val="clear" w:fill="B8CCE4"/>
            <w:tcW w:w="1452" w:type="dxa"/>
            <w:vAlign w:val="top"/>
          </w:tcPr>
          <w:p>
            <w:pPr>
              <w:pStyle w:val="TableText"/>
              <w:ind w:left="395"/>
              <w:spacing w:before="89" w:line="185" w:lineRule="auto"/>
              <w:rPr/>
            </w:pPr>
            <w:r>
              <w:rPr/>
              <w:t>ST</w:t>
            </w:r>
            <w:r>
              <w:rPr>
                <w:spacing w:val="8"/>
              </w:rPr>
              <w:t>峡创</w:t>
            </w:r>
          </w:p>
        </w:tc>
        <w:tc>
          <w:tcPr>
            <w:shd w:val="clear" w:fill="B8CCE4"/>
            <w:tcW w:w="5942" w:type="dxa"/>
            <w:vAlign w:val="top"/>
          </w:tcPr>
          <w:p>
            <w:pPr>
              <w:pStyle w:val="TableText"/>
              <w:ind w:left="99"/>
              <w:spacing w:before="86" w:line="187" w:lineRule="auto"/>
              <w:rPr/>
            </w:pPr>
            <w:r>
              <w:rPr>
                <w:spacing w:val="7"/>
              </w:rPr>
              <w:t>海峡创新2018年年报、</w:t>
            </w:r>
            <w:r>
              <w:rPr>
                <w:spacing w:val="-27"/>
              </w:rPr>
              <w:t xml:space="preserve"> </w:t>
            </w:r>
            <w:r>
              <w:rPr>
                <w:spacing w:val="7"/>
              </w:rPr>
              <w:t>2019年半年报存在</w:t>
            </w:r>
            <w:r>
              <w:rPr>
                <w:b/>
                <w:bCs/>
                <w:spacing w:val="7"/>
              </w:rPr>
              <w:t>虚假记载</w:t>
            </w:r>
            <w:r>
              <w:rPr>
                <w:spacing w:val="7"/>
              </w:rPr>
              <w:t>。</w:t>
            </w:r>
          </w:p>
        </w:tc>
      </w:tr>
      <w:tr>
        <w:trPr>
          <w:trHeight w:val="724" w:hRule="atLeast"/>
        </w:trPr>
        <w:tc>
          <w:tcPr>
            <w:tcW w:w="8706" w:type="dxa"/>
            <w:vAlign w:val="top"/>
            <w:gridSpan w:val="3"/>
          </w:tcPr>
          <w:p>
            <w:pPr>
              <w:pStyle w:val="TableText"/>
              <w:ind w:left="106" w:right="105" w:firstLine="17"/>
              <w:spacing w:before="44" w:line="234" w:lineRule="auto"/>
              <w:rPr/>
            </w:pPr>
            <w:r>
              <w:rPr>
                <w:b/>
                <w:bCs/>
                <w:spacing w:val="8"/>
              </w:rPr>
              <w:t>【行政处罚决定】</w:t>
            </w:r>
            <w:r>
              <w:rPr>
                <w:b/>
                <w:bCs/>
                <w:spacing w:val="-29"/>
              </w:rPr>
              <w:t xml:space="preserve"> </w:t>
            </w:r>
            <w:r>
              <w:rPr>
                <w:spacing w:val="8"/>
              </w:rPr>
              <w:t>中国证券监督管理委员会浙江监管局决定： </w:t>
            </w:r>
            <w:r>
              <w:rPr>
                <w:spacing w:val="7"/>
              </w:rPr>
              <w:t>对法定代表人,时任董事长项某</w:t>
            </w:r>
            <w:r>
              <w:rPr/>
              <w:t xml:space="preserve"> </w:t>
            </w:r>
            <w:r>
              <w:rPr>
                <w:spacing w:val="4"/>
              </w:rPr>
              <w:t>给予警告， 并处以30万元罚款。</w:t>
            </w:r>
          </w:p>
        </w:tc>
      </w:tr>
      <w:tr>
        <w:trPr>
          <w:trHeight w:val="365" w:hRule="atLeast"/>
        </w:trPr>
        <w:tc>
          <w:tcPr>
            <w:shd w:val="clear" w:fill="B8CCE4"/>
            <w:tcW w:w="1312" w:type="dxa"/>
            <w:vAlign w:val="top"/>
          </w:tcPr>
          <w:p>
            <w:pPr>
              <w:pStyle w:val="TableText"/>
              <w:ind w:left="293"/>
              <w:spacing w:before="103" w:line="176" w:lineRule="auto"/>
              <w:rPr/>
            </w:pPr>
            <w:r>
              <w:rPr>
                <w:spacing w:val="3"/>
              </w:rPr>
              <w:t>300300</w:t>
            </w:r>
          </w:p>
        </w:tc>
        <w:tc>
          <w:tcPr>
            <w:shd w:val="clear" w:fill="B8CCE4"/>
            <w:tcW w:w="1452" w:type="dxa"/>
            <w:vAlign w:val="top"/>
          </w:tcPr>
          <w:p>
            <w:pPr>
              <w:pStyle w:val="TableText"/>
              <w:ind w:left="395"/>
              <w:spacing w:before="91" w:line="184" w:lineRule="auto"/>
              <w:rPr/>
            </w:pPr>
            <w:r>
              <w:rPr/>
              <w:t>ST</w:t>
            </w:r>
            <w:r>
              <w:rPr>
                <w:spacing w:val="8"/>
              </w:rPr>
              <w:t>峡创</w:t>
            </w:r>
          </w:p>
        </w:tc>
        <w:tc>
          <w:tcPr>
            <w:shd w:val="clear" w:fill="B8CCE4"/>
            <w:tcW w:w="5942" w:type="dxa"/>
            <w:vAlign w:val="top"/>
          </w:tcPr>
          <w:p>
            <w:pPr>
              <w:pStyle w:val="TableText"/>
              <w:ind w:left="99"/>
              <w:spacing w:before="89" w:line="186" w:lineRule="auto"/>
              <w:rPr/>
            </w:pPr>
            <w:r>
              <w:rPr>
                <w:spacing w:val="7"/>
              </w:rPr>
              <w:t>海峡创新2018年年报、</w:t>
            </w:r>
            <w:r>
              <w:rPr>
                <w:spacing w:val="-27"/>
              </w:rPr>
              <w:t xml:space="preserve"> </w:t>
            </w:r>
            <w:r>
              <w:rPr>
                <w:spacing w:val="7"/>
              </w:rPr>
              <w:t>2019年半年报存在</w:t>
            </w:r>
            <w:r>
              <w:rPr>
                <w:b/>
                <w:bCs/>
                <w:spacing w:val="7"/>
              </w:rPr>
              <w:t>虚假记载</w:t>
            </w:r>
            <w:r>
              <w:rPr>
                <w:spacing w:val="7"/>
              </w:rPr>
              <w:t>。</w:t>
            </w:r>
          </w:p>
        </w:tc>
      </w:tr>
      <w:tr>
        <w:trPr>
          <w:trHeight w:val="724" w:hRule="atLeast"/>
        </w:trPr>
        <w:tc>
          <w:tcPr>
            <w:tcW w:w="8706" w:type="dxa"/>
            <w:vAlign w:val="top"/>
            <w:gridSpan w:val="3"/>
          </w:tcPr>
          <w:p>
            <w:pPr>
              <w:pStyle w:val="TableText"/>
              <w:ind w:left="106" w:right="103" w:firstLine="17"/>
              <w:spacing w:before="47" w:line="233" w:lineRule="auto"/>
              <w:rPr/>
            </w:pPr>
            <w:r>
              <w:rPr>
                <w:b/>
                <w:bCs/>
                <w:spacing w:val="8"/>
              </w:rPr>
              <w:t>【行政处罚决定】</w:t>
            </w:r>
            <w:r>
              <w:rPr>
                <w:b/>
                <w:bCs/>
                <w:spacing w:val="-29"/>
              </w:rPr>
              <w:t xml:space="preserve"> </w:t>
            </w:r>
            <w:r>
              <w:rPr>
                <w:spacing w:val="8"/>
              </w:rPr>
              <w:t>中国证券监督管理委员会浙江监管局决定： 对时任</w:t>
            </w:r>
            <w:r>
              <w:rPr>
                <w:spacing w:val="7"/>
              </w:rPr>
              <w:t>董事,时任总经理黄某马</w:t>
            </w:r>
            <w:r>
              <w:rPr/>
              <w:t xml:space="preserve"> </w:t>
            </w:r>
            <w:r>
              <w:rPr>
                <w:spacing w:val="4"/>
              </w:rPr>
              <w:t>给予警告， 并处以30万元罚款。</w:t>
            </w:r>
          </w:p>
        </w:tc>
      </w:tr>
      <w:tr>
        <w:trPr>
          <w:trHeight w:val="364" w:hRule="atLeast"/>
        </w:trPr>
        <w:tc>
          <w:tcPr>
            <w:shd w:val="clear" w:fill="B8CCE4"/>
            <w:tcW w:w="1312" w:type="dxa"/>
            <w:vAlign w:val="top"/>
          </w:tcPr>
          <w:p>
            <w:pPr>
              <w:pStyle w:val="TableText"/>
              <w:ind w:left="293"/>
              <w:spacing w:before="105" w:line="174" w:lineRule="auto"/>
              <w:rPr/>
            </w:pPr>
            <w:r>
              <w:rPr>
                <w:spacing w:val="3"/>
              </w:rPr>
              <w:t>300300</w:t>
            </w:r>
          </w:p>
        </w:tc>
        <w:tc>
          <w:tcPr>
            <w:shd w:val="clear" w:fill="B8CCE4"/>
            <w:tcW w:w="1452" w:type="dxa"/>
            <w:vAlign w:val="top"/>
          </w:tcPr>
          <w:p>
            <w:pPr>
              <w:pStyle w:val="TableText"/>
              <w:ind w:left="395"/>
              <w:spacing w:before="93" w:line="182" w:lineRule="auto"/>
              <w:rPr/>
            </w:pPr>
            <w:r>
              <w:rPr/>
              <w:t>ST</w:t>
            </w:r>
            <w:r>
              <w:rPr>
                <w:spacing w:val="8"/>
              </w:rPr>
              <w:t>峡创</w:t>
            </w:r>
          </w:p>
        </w:tc>
        <w:tc>
          <w:tcPr>
            <w:shd w:val="clear" w:fill="B8CCE4"/>
            <w:tcW w:w="5942" w:type="dxa"/>
            <w:vAlign w:val="top"/>
          </w:tcPr>
          <w:p>
            <w:pPr>
              <w:pStyle w:val="TableText"/>
              <w:ind w:left="99"/>
              <w:spacing w:before="90" w:line="184" w:lineRule="auto"/>
              <w:rPr/>
            </w:pPr>
            <w:r>
              <w:rPr>
                <w:spacing w:val="7"/>
              </w:rPr>
              <w:t>海峡创新2018年年报、</w:t>
            </w:r>
            <w:r>
              <w:rPr>
                <w:spacing w:val="-27"/>
              </w:rPr>
              <w:t xml:space="preserve"> </w:t>
            </w:r>
            <w:r>
              <w:rPr>
                <w:spacing w:val="7"/>
              </w:rPr>
              <w:t>2019年半年报存在</w:t>
            </w:r>
            <w:r>
              <w:rPr>
                <w:b/>
                <w:bCs/>
                <w:spacing w:val="7"/>
              </w:rPr>
              <w:t>虚假记载</w:t>
            </w:r>
            <w:r>
              <w:rPr>
                <w:spacing w:val="7"/>
              </w:rPr>
              <w:t>。</w:t>
            </w:r>
          </w:p>
        </w:tc>
      </w:tr>
      <w:tr>
        <w:trPr>
          <w:trHeight w:val="725" w:hRule="atLeast"/>
        </w:trPr>
        <w:tc>
          <w:tcPr>
            <w:tcW w:w="8706" w:type="dxa"/>
            <w:vAlign w:val="top"/>
            <w:gridSpan w:val="3"/>
          </w:tcPr>
          <w:p>
            <w:pPr>
              <w:pStyle w:val="TableText"/>
              <w:ind w:left="104" w:right="103" w:firstLine="18"/>
              <w:spacing w:before="51" w:line="232" w:lineRule="auto"/>
              <w:rPr/>
            </w:pPr>
            <w:r>
              <w:rPr>
                <w:b/>
                <w:bCs/>
                <w:spacing w:val="11"/>
              </w:rPr>
              <w:t>【行政处罚决定】</w:t>
            </w:r>
            <w:r>
              <w:rPr>
                <w:b/>
                <w:bCs/>
                <w:spacing w:val="-14"/>
              </w:rPr>
              <w:t xml:space="preserve"> </w:t>
            </w:r>
            <w:r>
              <w:rPr>
                <w:spacing w:val="11"/>
              </w:rPr>
              <w:t>中国证券监督管理委员会浙江监管局决定： 对时任董事,时任董秘,时任财</w:t>
            </w:r>
            <w:r>
              <w:rPr/>
              <w:t xml:space="preserve"> </w:t>
            </w:r>
            <w:r>
              <w:rPr>
                <w:spacing w:val="5"/>
              </w:rPr>
              <w:t>务总监周某利给予警告， 并处以20万元罚款。</w:t>
            </w:r>
          </w:p>
        </w:tc>
      </w:tr>
      <w:tr>
        <w:trPr>
          <w:trHeight w:val="364" w:hRule="atLeast"/>
        </w:trPr>
        <w:tc>
          <w:tcPr>
            <w:shd w:val="clear" w:fill="B8CCE4"/>
            <w:tcW w:w="1312" w:type="dxa"/>
            <w:vAlign w:val="top"/>
          </w:tcPr>
          <w:p>
            <w:pPr>
              <w:pStyle w:val="TableText"/>
              <w:ind w:left="293"/>
              <w:spacing w:before="108" w:line="172" w:lineRule="auto"/>
              <w:rPr/>
            </w:pPr>
            <w:r>
              <w:rPr>
                <w:spacing w:val="3"/>
              </w:rPr>
              <w:t>300300</w:t>
            </w:r>
          </w:p>
        </w:tc>
        <w:tc>
          <w:tcPr>
            <w:shd w:val="clear" w:fill="B8CCE4"/>
            <w:tcW w:w="1452" w:type="dxa"/>
            <w:vAlign w:val="top"/>
          </w:tcPr>
          <w:p>
            <w:pPr>
              <w:pStyle w:val="TableText"/>
              <w:ind w:left="395"/>
              <w:spacing w:before="95" w:line="181" w:lineRule="auto"/>
              <w:rPr/>
            </w:pPr>
            <w:r>
              <w:rPr/>
              <w:t>ST</w:t>
            </w:r>
            <w:r>
              <w:rPr>
                <w:spacing w:val="8"/>
              </w:rPr>
              <w:t>峡创</w:t>
            </w:r>
          </w:p>
        </w:tc>
        <w:tc>
          <w:tcPr>
            <w:shd w:val="clear" w:fill="B8CCE4"/>
            <w:tcW w:w="5942" w:type="dxa"/>
            <w:vAlign w:val="top"/>
          </w:tcPr>
          <w:p>
            <w:pPr>
              <w:pStyle w:val="TableText"/>
              <w:ind w:left="99"/>
              <w:spacing w:before="92" w:line="183" w:lineRule="auto"/>
              <w:rPr/>
            </w:pPr>
            <w:r>
              <w:rPr>
                <w:spacing w:val="7"/>
              </w:rPr>
              <w:t>海峡创新2018年年报、</w:t>
            </w:r>
            <w:r>
              <w:rPr>
                <w:spacing w:val="-27"/>
              </w:rPr>
              <w:t xml:space="preserve"> </w:t>
            </w:r>
            <w:r>
              <w:rPr>
                <w:spacing w:val="7"/>
              </w:rPr>
              <w:t>2019年半年报存在</w:t>
            </w:r>
            <w:r>
              <w:rPr>
                <w:b/>
                <w:bCs/>
                <w:spacing w:val="7"/>
              </w:rPr>
              <w:t>虚假记载</w:t>
            </w:r>
            <w:r>
              <w:rPr>
                <w:spacing w:val="7"/>
              </w:rPr>
              <w:t>。</w:t>
            </w:r>
          </w:p>
        </w:tc>
      </w:tr>
      <w:tr>
        <w:trPr>
          <w:trHeight w:val="733" w:hRule="atLeast"/>
        </w:trPr>
        <w:tc>
          <w:tcPr>
            <w:tcW w:w="8706" w:type="dxa"/>
            <w:vAlign w:val="top"/>
            <w:gridSpan w:val="3"/>
          </w:tcPr>
          <w:p>
            <w:pPr>
              <w:pStyle w:val="TableText"/>
              <w:ind w:left="110" w:right="103" w:firstLine="12"/>
              <w:spacing w:before="50" w:line="235" w:lineRule="auto"/>
              <w:rPr/>
            </w:pPr>
            <w:r>
              <w:rPr>
                <w:b/>
                <w:bCs/>
                <w:spacing w:val="8"/>
              </w:rPr>
              <w:t>【行政处罚决定】</w:t>
            </w:r>
            <w:r>
              <w:rPr>
                <w:b/>
                <w:bCs/>
                <w:spacing w:val="-29"/>
              </w:rPr>
              <w:t xml:space="preserve"> </w:t>
            </w:r>
            <w:r>
              <w:rPr>
                <w:spacing w:val="8"/>
              </w:rPr>
              <w:t>中国证券监督管理委员会浙江监管局决定： 对时任</w:t>
            </w:r>
            <w:r>
              <w:rPr>
                <w:spacing w:val="7"/>
              </w:rPr>
              <w:t>高管,时任董事黄某利给</w:t>
            </w:r>
            <w:r>
              <w:rPr/>
              <w:t xml:space="preserve"> </w:t>
            </w:r>
            <w:r>
              <w:rPr>
                <w:spacing w:val="3"/>
              </w:rPr>
              <w:t>予警告， 并处以30万元罚款。</w:t>
            </w:r>
          </w:p>
        </w:tc>
      </w:tr>
    </w:tbl>
    <w:p>
      <w:pPr>
        <w:pStyle w:val="BodyText"/>
        <w:spacing w:line="394" w:lineRule="auto"/>
        <w:rPr/>
      </w:pPr>
      <w:r/>
    </w:p>
    <w:p>
      <w:pPr>
        <w:ind w:left="757"/>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8"/>
        </w:rPr>
        <w:t>（2） 行政处罚决定事先告知书</w:t>
      </w:r>
    </w:p>
    <w:p>
      <w:pPr>
        <w:spacing w:line="174" w:lineRule="exact"/>
        <w:rPr/>
      </w:pPr>
      <w:r/>
    </w:p>
    <w:tbl>
      <w:tblPr>
        <w:tblStyle w:val="TableNormal"/>
        <w:tblW w:w="8706" w:type="dxa"/>
        <w:tblInd w:w="150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12"/>
        <w:gridCol w:w="1452"/>
        <w:gridCol w:w="5942"/>
      </w:tblGrid>
      <w:tr>
        <w:trPr>
          <w:trHeight w:val="385" w:hRule="atLeast"/>
        </w:trPr>
        <w:tc>
          <w:tcPr>
            <w:shd w:val="clear" w:fill="4F81BD"/>
            <w:tcW w:w="1312" w:type="dxa"/>
            <w:vAlign w:val="top"/>
            <w:tcBorders>
              <w:bottom w:val="single" w:color="FFFFFF" w:sz="2" w:space="0"/>
            </w:tcBorders>
          </w:tcPr>
          <w:p>
            <w:pPr>
              <w:pStyle w:val="TableText"/>
              <w:ind w:left="229"/>
              <w:spacing w:before="109" w:line="186" w:lineRule="auto"/>
              <w:rPr/>
            </w:pPr>
            <w:r>
              <w:rPr>
                <w:b/>
                <w:bCs/>
                <w:color w:val="FFFFFF"/>
                <w:spacing w:val="8"/>
              </w:rPr>
              <w:t>公司代码</w:t>
            </w:r>
          </w:p>
        </w:tc>
        <w:tc>
          <w:tcPr>
            <w:shd w:val="clear" w:fill="4F81BD"/>
            <w:tcW w:w="1452" w:type="dxa"/>
            <w:vAlign w:val="top"/>
            <w:tcBorders>
              <w:bottom w:val="single" w:color="FFFFFF" w:sz="2" w:space="0"/>
            </w:tcBorders>
          </w:tcPr>
          <w:p>
            <w:pPr>
              <w:pStyle w:val="TableText"/>
              <w:ind w:left="297"/>
              <w:spacing w:before="109" w:line="186" w:lineRule="auto"/>
              <w:rPr/>
            </w:pPr>
            <w:r>
              <w:rPr>
                <w:b/>
                <w:bCs/>
                <w:color w:val="FFFFFF"/>
                <w:spacing w:val="8"/>
              </w:rPr>
              <w:t>公司简称</w:t>
            </w:r>
          </w:p>
        </w:tc>
        <w:tc>
          <w:tcPr>
            <w:shd w:val="clear" w:fill="4F81BD"/>
            <w:tcW w:w="5942" w:type="dxa"/>
            <w:vAlign w:val="top"/>
            <w:tcBorders>
              <w:bottom w:val="single" w:color="FFFFFF" w:sz="2" w:space="0"/>
            </w:tcBorders>
          </w:tcPr>
          <w:p>
            <w:pPr>
              <w:pStyle w:val="TableText"/>
              <w:ind w:left="2543"/>
              <w:spacing w:before="109" w:line="186" w:lineRule="auto"/>
              <w:rPr/>
            </w:pPr>
            <w:r>
              <w:rPr>
                <w:b/>
                <w:bCs/>
                <w:color w:val="FFFFFF"/>
                <w:spacing w:val="8"/>
              </w:rPr>
              <w:t>违规行为</w:t>
            </w:r>
          </w:p>
        </w:tc>
      </w:tr>
      <w:tr>
        <w:trPr>
          <w:trHeight w:val="727" w:hRule="atLeast"/>
        </w:trPr>
        <w:tc>
          <w:tcPr>
            <w:shd w:val="clear" w:fill="B8CCE4"/>
            <w:tcW w:w="1312" w:type="dxa"/>
            <w:vAlign w:val="top"/>
            <w:tcBorders>
              <w:top w:val="single" w:color="FFFFFF" w:sz="2" w:space="0"/>
            </w:tcBorders>
          </w:tcPr>
          <w:p>
            <w:pPr>
              <w:pStyle w:val="TableText"/>
              <w:ind w:left="287"/>
              <w:spacing w:before="281" w:line="179" w:lineRule="auto"/>
              <w:rPr/>
            </w:pPr>
            <w:r>
              <w:rPr>
                <w:spacing w:val="3"/>
              </w:rPr>
              <w:t>000010</w:t>
            </w:r>
          </w:p>
        </w:tc>
        <w:tc>
          <w:tcPr>
            <w:shd w:val="clear" w:fill="B8CCE4"/>
            <w:tcW w:w="1452" w:type="dxa"/>
            <w:vAlign w:val="top"/>
            <w:tcBorders>
              <w:top w:val="single" w:color="FFFFFF" w:sz="2" w:space="0"/>
            </w:tcBorders>
          </w:tcPr>
          <w:p>
            <w:pPr>
              <w:pStyle w:val="TableText"/>
              <w:ind w:left="297"/>
              <w:spacing w:before="266" w:line="190" w:lineRule="auto"/>
              <w:rPr/>
            </w:pPr>
            <w:r>
              <w:rPr>
                <w:spacing w:val="8"/>
              </w:rPr>
              <w:t>美丽生态</w:t>
            </w:r>
          </w:p>
        </w:tc>
        <w:tc>
          <w:tcPr>
            <w:shd w:val="clear" w:fill="B8CCE4"/>
            <w:tcW w:w="5942" w:type="dxa"/>
            <w:vAlign w:val="top"/>
            <w:tcBorders>
              <w:top w:val="single" w:color="FFFFFF" w:sz="2" w:space="0"/>
            </w:tcBorders>
          </w:tcPr>
          <w:p>
            <w:pPr>
              <w:pStyle w:val="TableText"/>
              <w:ind w:left="99" w:right="161"/>
              <w:spacing w:before="87" w:line="220" w:lineRule="auto"/>
              <w:rPr/>
            </w:pPr>
            <w:r>
              <w:rPr>
                <w:spacing w:val="7"/>
              </w:rPr>
              <w:t>未及时披露</w:t>
            </w:r>
            <w:r>
              <w:rPr>
                <w:b/>
                <w:bCs/>
                <w:spacing w:val="7"/>
              </w:rPr>
              <w:t>控股股东股份被冻结</w:t>
            </w:r>
            <w:r>
              <w:rPr>
                <w:spacing w:val="7"/>
              </w:rPr>
              <w:t>相关事项； 未及时披露</w:t>
            </w:r>
            <w:r>
              <w:rPr>
                <w:b/>
                <w:bCs/>
                <w:spacing w:val="7"/>
              </w:rPr>
              <w:t>债务重</w:t>
            </w:r>
            <w:r>
              <w:rPr>
                <w:b/>
                <w:bCs/>
                <w:spacing w:val="10"/>
              </w:rPr>
              <w:t xml:space="preserve"> </w:t>
            </w:r>
            <w:r>
              <w:rPr>
                <w:b/>
                <w:bCs/>
                <w:spacing w:val="6"/>
              </w:rPr>
              <w:t>组</w:t>
            </w:r>
            <w:r>
              <w:rPr>
                <w:spacing w:val="6"/>
              </w:rPr>
              <w:t>事项。</w:t>
            </w:r>
          </w:p>
        </w:tc>
      </w:tr>
      <w:tr>
        <w:trPr>
          <w:trHeight w:val="1803" w:hRule="atLeast"/>
        </w:trPr>
        <w:tc>
          <w:tcPr>
            <w:tcW w:w="8706" w:type="dxa"/>
            <w:vAlign w:val="top"/>
            <w:gridSpan w:val="3"/>
          </w:tcPr>
          <w:p>
            <w:pPr>
              <w:pStyle w:val="TableText"/>
              <w:ind w:left="123"/>
              <w:spacing w:before="44" w:line="233" w:lineRule="auto"/>
              <w:rPr/>
            </w:pPr>
            <w:r>
              <w:rPr>
                <w:b/>
                <w:bCs/>
                <w:spacing w:val="5"/>
              </w:rPr>
              <w:t>【行政监处罚决定 （拟） 】</w:t>
            </w:r>
            <w:r>
              <w:rPr>
                <w:b/>
                <w:bCs/>
                <w:spacing w:val="-35"/>
              </w:rPr>
              <w:t xml:space="preserve"> </w:t>
            </w:r>
            <w:r>
              <w:rPr>
                <w:spacing w:val="5"/>
              </w:rPr>
              <w:t>中国证券监督管理委员会深圳监管局拟作</w:t>
            </w:r>
            <w:r>
              <w:rPr>
                <w:spacing w:val="4"/>
              </w:rPr>
              <w:t>出以下决定：</w:t>
            </w:r>
          </w:p>
          <w:p>
            <w:pPr>
              <w:pStyle w:val="TableText"/>
              <w:ind w:left="125"/>
              <w:spacing w:before="68" w:line="190" w:lineRule="auto"/>
              <w:rPr/>
            </w:pPr>
            <w:r>
              <w:rPr>
                <w:spacing w:val="6"/>
              </w:rPr>
              <w:t>1、对深圳美丽生态股份有限公司给予警告， 并处以150万元罚款；</w:t>
            </w:r>
          </w:p>
          <w:p>
            <w:pPr>
              <w:pStyle w:val="TableText"/>
              <w:ind w:left="115"/>
              <w:spacing w:before="89" w:line="189" w:lineRule="auto"/>
              <w:rPr/>
            </w:pPr>
            <w:r>
              <w:rPr>
                <w:spacing w:val="8"/>
              </w:rPr>
              <w:t>2、对佳源创盛控股集团有限公司处以150万元罚款；</w:t>
            </w:r>
          </w:p>
          <w:p>
            <w:pPr>
              <w:pStyle w:val="TableText"/>
              <w:ind w:left="118"/>
              <w:spacing w:before="89" w:line="189" w:lineRule="auto"/>
              <w:rPr/>
            </w:pPr>
            <w:r>
              <w:rPr>
                <w:spacing w:val="7"/>
              </w:rPr>
              <w:t>3、对沈某兴处以80万元罚款；</w:t>
            </w:r>
          </w:p>
          <w:p>
            <w:pPr>
              <w:pStyle w:val="TableText"/>
              <w:ind w:left="105"/>
              <w:spacing w:before="89" w:line="186" w:lineRule="auto"/>
              <w:rPr/>
            </w:pPr>
            <w:r>
              <w:rPr>
                <w:spacing w:val="6"/>
              </w:rPr>
              <w:t>4、对董事长陈某霖给予警告， 并处以50万元罚款；</w:t>
            </w:r>
          </w:p>
        </w:tc>
      </w:tr>
    </w:tbl>
    <w:p>
      <w:pPr>
        <w:pStyle w:val="BodyText"/>
        <w:spacing w:line="14" w:lineRule="auto"/>
        <w:rPr>
          <w:sz w:val="2"/>
        </w:rPr>
      </w:pPr>
      <w:r/>
    </w:p>
    <w:p>
      <w:pPr>
        <w:spacing w:line="14" w:lineRule="auto"/>
        <w:sectPr>
          <w:type w:val="continuous"/>
          <w:pgSz w:w="11910" w:h="16840"/>
          <w:pgMar w:top="9" w:right="59" w:bottom="0" w:left="0" w:header="0" w:footer="0" w:gutter="0"/>
          <w:cols w:equalWidth="0" w:num="1">
            <w:col w:w="11851" w:space="0"/>
          </w:cols>
        </w:sectPr>
        <w:rPr>
          <w:sz w:val="2"/>
          <w:szCs w:val="2"/>
        </w:rPr>
      </w:pPr>
    </w:p>
    <w:tbl>
      <w:tblPr>
        <w:tblStyle w:val="TableNormal"/>
        <w:tblW w:w="8706" w:type="dxa"/>
        <w:tblInd w:w="74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12"/>
        <w:gridCol w:w="1452"/>
        <w:gridCol w:w="5942"/>
      </w:tblGrid>
      <w:tr>
        <w:trPr>
          <w:trHeight w:val="741" w:hRule="atLeast"/>
        </w:trPr>
        <w:tc>
          <w:tcPr>
            <w:tcW w:w="8706" w:type="dxa"/>
            <w:vAlign w:val="top"/>
            <w:gridSpan w:val="3"/>
            <w:tcBorders>
              <w:top w:val="single" w:color="FFFFFF" w:sz="2" w:space="0"/>
            </w:tcBorders>
          </w:tcPr>
          <w:p>
            <w:pPr>
              <w:pStyle w:val="TableText"/>
              <w:ind w:left="121"/>
              <w:spacing w:before="102" w:line="189" w:lineRule="auto"/>
              <w:rPr/>
            </w:pPr>
            <w:r>
              <w:rPr>
                <w:spacing w:val="5"/>
              </w:rPr>
              <w:t>5、对时任董秘念某敏给予警告， 并处以30万元罚款；</w:t>
            </w:r>
          </w:p>
          <w:p>
            <w:pPr>
              <w:pStyle w:val="TableText"/>
              <w:ind w:left="115"/>
              <w:spacing w:before="89" w:line="188" w:lineRule="auto"/>
              <w:rPr/>
            </w:pPr>
            <w:r>
              <w:rPr>
                <w:spacing w:val="5"/>
              </w:rPr>
              <w:t>6、对总经理周某斌给予警告， 并处以20万元罚款。</w:t>
            </w:r>
          </w:p>
        </w:tc>
      </w:tr>
      <w:tr>
        <w:trPr>
          <w:trHeight w:val="722" w:hRule="atLeast"/>
        </w:trPr>
        <w:tc>
          <w:tcPr>
            <w:shd w:val="clear" w:fill="B8CCE4"/>
            <w:tcW w:w="1312" w:type="dxa"/>
            <w:vAlign w:val="top"/>
          </w:tcPr>
          <w:p>
            <w:pPr>
              <w:pStyle w:val="TableText"/>
              <w:ind w:left="287"/>
              <w:spacing w:before="276" w:line="179" w:lineRule="auto"/>
              <w:rPr/>
            </w:pPr>
            <w:r>
              <w:rPr>
                <w:spacing w:val="3"/>
              </w:rPr>
              <w:t>002316</w:t>
            </w:r>
          </w:p>
        </w:tc>
        <w:tc>
          <w:tcPr>
            <w:shd w:val="clear" w:fill="B8CCE4"/>
            <w:tcW w:w="1452" w:type="dxa"/>
            <w:vAlign w:val="top"/>
          </w:tcPr>
          <w:p>
            <w:pPr>
              <w:pStyle w:val="TableText"/>
              <w:ind w:left="395"/>
              <w:spacing w:before="264" w:line="188" w:lineRule="auto"/>
              <w:rPr/>
            </w:pPr>
            <w:r>
              <w:rPr/>
              <w:t>ST</w:t>
            </w:r>
            <w:r>
              <w:rPr>
                <w:spacing w:val="8"/>
              </w:rPr>
              <w:t>亚联</w:t>
            </w:r>
          </w:p>
        </w:tc>
        <w:tc>
          <w:tcPr>
            <w:shd w:val="clear" w:fill="B8CCE4"/>
            <w:tcW w:w="5942" w:type="dxa"/>
            <w:vAlign w:val="top"/>
          </w:tcPr>
          <w:p>
            <w:pPr>
              <w:pStyle w:val="TableText"/>
              <w:ind w:left="100" w:right="297"/>
              <w:spacing w:before="85" w:line="219" w:lineRule="auto"/>
              <w:rPr/>
            </w:pPr>
            <w:r>
              <w:rPr>
                <w:spacing w:val="7"/>
              </w:rPr>
              <w:t>亚联发展2021年年度报告存在</w:t>
            </w:r>
            <w:r>
              <w:rPr>
                <w:b/>
                <w:bCs/>
                <w:spacing w:val="7"/>
              </w:rPr>
              <w:t>虚假记载</w:t>
            </w:r>
            <w:r>
              <w:rPr>
                <w:spacing w:val="7"/>
              </w:rPr>
              <w:t>， 虚增利润</w:t>
            </w:r>
            <w:r>
              <w:rPr>
                <w:spacing w:val="6"/>
              </w:rPr>
              <w:t>总额、净</w:t>
            </w:r>
            <w:r>
              <w:rPr/>
              <w:t xml:space="preserve"> </w:t>
            </w:r>
            <w:r>
              <w:rPr>
                <w:spacing w:val="4"/>
              </w:rPr>
              <w:t>资产。</w:t>
            </w:r>
          </w:p>
        </w:tc>
      </w:tr>
      <w:tr>
        <w:trPr>
          <w:trHeight w:val="1448" w:hRule="atLeast"/>
        </w:trPr>
        <w:tc>
          <w:tcPr>
            <w:tcW w:w="8706" w:type="dxa"/>
            <w:vAlign w:val="top"/>
            <w:gridSpan w:val="3"/>
          </w:tcPr>
          <w:p>
            <w:pPr>
              <w:pStyle w:val="TableText"/>
              <w:ind w:left="123"/>
              <w:spacing w:before="44" w:line="233" w:lineRule="auto"/>
              <w:rPr/>
            </w:pPr>
            <w:r>
              <w:rPr>
                <w:b/>
                <w:bCs/>
                <w:spacing w:val="4"/>
              </w:rPr>
              <w:t>【行政监处罚决定 （拟） 】</w:t>
            </w:r>
            <w:r>
              <w:rPr>
                <w:b/>
                <w:bCs/>
                <w:spacing w:val="-27"/>
              </w:rPr>
              <w:t xml:space="preserve"> </w:t>
            </w:r>
            <w:r>
              <w:rPr>
                <w:spacing w:val="4"/>
              </w:rPr>
              <w:t>中国证券监督管理委员会吉林监管局拟决定：</w:t>
            </w:r>
          </w:p>
          <w:p>
            <w:pPr>
              <w:pStyle w:val="TableText"/>
              <w:ind w:left="139"/>
              <w:spacing w:before="30" w:line="229" w:lineRule="auto"/>
              <w:rPr/>
            </w:pPr>
            <w:r>
              <w:rPr>
                <w:spacing w:val="4"/>
              </w:rPr>
              <w:t>（一） 对吉林亚联发展科技股份有限公司给予警告， 并处以200万元罚款；</w:t>
            </w:r>
          </w:p>
          <w:p>
            <w:pPr>
              <w:pStyle w:val="TableText"/>
              <w:ind w:left="139"/>
              <w:spacing w:before="32" w:line="229" w:lineRule="auto"/>
              <w:rPr/>
            </w:pPr>
            <w:r>
              <w:rPr>
                <w:spacing w:val="2"/>
              </w:rPr>
              <w:t>（二） 对董事长王某彬给予警告， 并处以60万元罚款；</w:t>
            </w:r>
          </w:p>
          <w:p>
            <w:pPr>
              <w:pStyle w:val="TableText"/>
              <w:ind w:left="139"/>
              <w:spacing w:before="33" w:line="216" w:lineRule="auto"/>
              <w:rPr/>
            </w:pPr>
            <w:r>
              <w:rPr>
                <w:spacing w:val="3"/>
              </w:rPr>
              <w:t>（三） 对财务总监陈某军给予警告， 并处以50万元罚款。</w:t>
            </w:r>
          </w:p>
        </w:tc>
      </w:tr>
    </w:tbl>
    <w:p>
      <w:pPr>
        <w:pStyle w:val="BodyText"/>
        <w:spacing w:line="320" w:lineRule="auto"/>
        <w:rPr/>
      </w:pPr>
      <w:r/>
    </w:p>
    <w:p>
      <w:pPr>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（3） 行政监管措施</w:t>
      </w:r>
    </w:p>
    <w:p>
      <w:pPr>
        <w:spacing w:line="173" w:lineRule="exact"/>
        <w:rPr/>
      </w:pPr>
      <w:r/>
    </w:p>
    <w:tbl>
      <w:tblPr>
        <w:tblStyle w:val="TableNormal"/>
        <w:tblW w:w="8706" w:type="dxa"/>
        <w:tblInd w:w="74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12"/>
        <w:gridCol w:w="1452"/>
        <w:gridCol w:w="5942"/>
      </w:tblGrid>
      <w:tr>
        <w:trPr>
          <w:trHeight w:val="387" w:hRule="atLeast"/>
        </w:trPr>
        <w:tc>
          <w:tcPr>
            <w:shd w:val="clear" w:fill="4F81BD"/>
            <w:tcW w:w="1312" w:type="dxa"/>
            <w:vAlign w:val="top"/>
            <w:tcBorders>
              <w:bottom w:val="single" w:color="FFFFFF" w:sz="2" w:space="0"/>
            </w:tcBorders>
          </w:tcPr>
          <w:p>
            <w:pPr>
              <w:pStyle w:val="TableText"/>
              <w:ind w:left="229"/>
              <w:spacing w:before="109" w:line="187" w:lineRule="auto"/>
              <w:rPr/>
            </w:pPr>
            <w:r>
              <w:rPr>
                <w:b/>
                <w:bCs/>
                <w:color w:val="FFFFFF"/>
                <w:spacing w:val="8"/>
              </w:rPr>
              <w:t>公司代码</w:t>
            </w:r>
          </w:p>
        </w:tc>
        <w:tc>
          <w:tcPr>
            <w:shd w:val="clear" w:fill="4F81BD"/>
            <w:tcW w:w="1452" w:type="dxa"/>
            <w:vAlign w:val="top"/>
            <w:tcBorders>
              <w:bottom w:val="single" w:color="FFFFFF" w:sz="2" w:space="0"/>
            </w:tcBorders>
          </w:tcPr>
          <w:p>
            <w:pPr>
              <w:pStyle w:val="TableText"/>
              <w:ind w:left="297"/>
              <w:spacing w:before="109" w:line="187" w:lineRule="auto"/>
              <w:rPr/>
            </w:pPr>
            <w:r>
              <w:rPr>
                <w:b/>
                <w:bCs/>
                <w:color w:val="FFFFFF"/>
                <w:spacing w:val="8"/>
              </w:rPr>
              <w:t>公司简称</w:t>
            </w:r>
          </w:p>
        </w:tc>
        <w:tc>
          <w:tcPr>
            <w:shd w:val="clear" w:fill="4F81BD"/>
            <w:tcW w:w="5942" w:type="dxa"/>
            <w:vAlign w:val="top"/>
            <w:tcBorders>
              <w:bottom w:val="single" w:color="FFFFFF" w:sz="2" w:space="0"/>
            </w:tcBorders>
          </w:tcPr>
          <w:p>
            <w:pPr>
              <w:pStyle w:val="TableText"/>
              <w:ind w:left="2543"/>
              <w:spacing w:before="109" w:line="187" w:lineRule="auto"/>
              <w:rPr/>
            </w:pPr>
            <w:r>
              <w:rPr>
                <w:b/>
                <w:bCs/>
                <w:color w:val="FFFFFF"/>
                <w:spacing w:val="8"/>
              </w:rPr>
              <w:t>违规行为</w:t>
            </w:r>
          </w:p>
        </w:tc>
      </w:tr>
      <w:tr>
        <w:trPr>
          <w:trHeight w:val="729" w:hRule="atLeast"/>
        </w:trPr>
        <w:tc>
          <w:tcPr>
            <w:shd w:val="clear" w:fill="B8CCE4"/>
            <w:tcW w:w="1312" w:type="dxa"/>
            <w:vAlign w:val="top"/>
            <w:tcBorders>
              <w:top w:val="single" w:color="FFFFFF" w:sz="2" w:space="0"/>
            </w:tcBorders>
          </w:tcPr>
          <w:p>
            <w:pPr>
              <w:pStyle w:val="TableText"/>
              <w:ind w:left="287"/>
              <w:spacing w:before="281" w:line="178" w:lineRule="auto"/>
              <w:rPr/>
            </w:pPr>
            <w:r>
              <w:rPr>
                <w:spacing w:val="3"/>
              </w:rPr>
              <w:t>002945</w:t>
            </w:r>
          </w:p>
        </w:tc>
        <w:tc>
          <w:tcPr>
            <w:shd w:val="clear" w:fill="B8CCE4"/>
            <w:tcW w:w="1452" w:type="dxa"/>
            <w:vAlign w:val="top"/>
            <w:tcBorders>
              <w:top w:val="single" w:color="FFFFFF" w:sz="2" w:space="0"/>
            </w:tcBorders>
          </w:tcPr>
          <w:p>
            <w:pPr>
              <w:pStyle w:val="TableText"/>
              <w:ind w:left="298"/>
              <w:spacing w:before="266" w:line="189" w:lineRule="auto"/>
              <w:rPr/>
            </w:pPr>
            <w:r>
              <w:rPr>
                <w:spacing w:val="8"/>
              </w:rPr>
              <w:t>华林证券</w:t>
            </w:r>
          </w:p>
        </w:tc>
        <w:tc>
          <w:tcPr>
            <w:shd w:val="clear" w:fill="B8CCE4"/>
            <w:tcW w:w="5942" w:type="dxa"/>
            <w:vAlign w:val="top"/>
            <w:tcBorders>
              <w:top w:val="single" w:color="FFFFFF" w:sz="2" w:space="0"/>
            </w:tcBorders>
          </w:tcPr>
          <w:p>
            <w:pPr>
              <w:pStyle w:val="TableText"/>
              <w:ind w:left="98" w:right="161" w:firstLine="3"/>
              <w:spacing w:before="84" w:line="222" w:lineRule="auto"/>
              <w:rPr/>
            </w:pPr>
            <w:r>
              <w:rPr>
                <w:spacing w:val="10"/>
              </w:rPr>
              <w:t>华林证券股份有限公司存在月度风险控制指标</w:t>
            </w:r>
            <w:r>
              <w:rPr>
                <w:spacing w:val="9"/>
              </w:rPr>
              <w:t>监管</w:t>
            </w:r>
            <w:r>
              <w:rPr>
                <w:b/>
                <w:bCs/>
                <w:spacing w:val="9"/>
              </w:rPr>
              <w:t>报表填报不</w:t>
            </w:r>
            <w:r>
              <w:rPr>
                <w:b/>
                <w:bCs/>
              </w:rPr>
              <w:t xml:space="preserve"> </w:t>
            </w:r>
            <w:r>
              <w:rPr>
                <w:b/>
                <w:bCs/>
                <w:spacing w:val="4"/>
              </w:rPr>
              <w:t>准确， 风控指标超标</w:t>
            </w:r>
            <w:r>
              <w:rPr>
                <w:spacing w:val="4"/>
              </w:rPr>
              <w:t>的问题。</w:t>
            </w:r>
          </w:p>
        </w:tc>
      </w:tr>
      <w:tr>
        <w:trPr>
          <w:trHeight w:val="725" w:hRule="atLeast"/>
        </w:trPr>
        <w:tc>
          <w:tcPr>
            <w:tcW w:w="8706" w:type="dxa"/>
            <w:vAlign w:val="top"/>
            <w:gridSpan w:val="3"/>
          </w:tcPr>
          <w:p>
            <w:pPr>
              <w:pStyle w:val="TableText"/>
              <w:ind w:left="115" w:right="103" w:firstLine="8"/>
              <w:spacing w:before="40" w:line="236" w:lineRule="auto"/>
              <w:rPr/>
            </w:pPr>
            <w:r>
              <w:rPr>
                <w:b/>
                <w:bCs/>
                <w:spacing w:val="11"/>
              </w:rPr>
              <w:t>【行政监管措施】</w:t>
            </w:r>
            <w:r>
              <w:rPr>
                <w:b/>
                <w:bCs/>
                <w:spacing w:val="-26"/>
              </w:rPr>
              <w:t xml:space="preserve"> </w:t>
            </w:r>
            <w:r>
              <w:rPr>
                <w:spacing w:val="11"/>
              </w:rPr>
              <w:t>中国证券监督管理委员会西藏监管局决定对朱某</w:t>
            </w:r>
            <w:r>
              <w:rPr>
                <w:spacing w:val="10"/>
              </w:rPr>
              <w:t>瑾、冯某森采取监管谈话</w:t>
            </w:r>
            <w:r>
              <w:rPr/>
              <w:t xml:space="preserve"> </w:t>
            </w:r>
            <w:r>
              <w:rPr>
                <w:spacing w:val="6"/>
              </w:rPr>
              <w:t>的监督管理措施， 并记入证券期货市场诚信档</w:t>
            </w:r>
            <w:r>
              <w:rPr>
                <w:spacing w:val="5"/>
              </w:rPr>
              <w:t>案。</w:t>
            </w:r>
          </w:p>
        </w:tc>
      </w:tr>
      <w:tr>
        <w:trPr>
          <w:trHeight w:val="724" w:hRule="atLeast"/>
        </w:trPr>
        <w:tc>
          <w:tcPr>
            <w:shd w:val="clear" w:fill="B8CCE4"/>
            <w:tcW w:w="1312" w:type="dxa"/>
            <w:vAlign w:val="top"/>
          </w:tcPr>
          <w:p>
            <w:pPr>
              <w:pStyle w:val="TableText"/>
              <w:ind w:left="287"/>
              <w:spacing w:before="278" w:line="178" w:lineRule="auto"/>
              <w:rPr/>
            </w:pPr>
            <w:r>
              <w:rPr>
                <w:spacing w:val="3"/>
              </w:rPr>
              <w:t>000809</w:t>
            </w:r>
          </w:p>
        </w:tc>
        <w:tc>
          <w:tcPr>
            <w:shd w:val="clear" w:fill="B8CCE4"/>
            <w:tcW w:w="1452" w:type="dxa"/>
            <w:vAlign w:val="top"/>
          </w:tcPr>
          <w:p>
            <w:pPr>
              <w:pStyle w:val="TableText"/>
              <w:ind w:left="342"/>
              <w:spacing w:before="270" w:line="184" w:lineRule="auto"/>
              <w:rPr/>
            </w:pPr>
            <w:r>
              <w:rPr>
                <w:spacing w:val="8"/>
              </w:rPr>
              <w:t>*</w:t>
            </w:r>
            <w:r>
              <w:rPr/>
              <w:t>ST</w:t>
            </w:r>
            <w:r>
              <w:rPr>
                <w:spacing w:val="8"/>
              </w:rPr>
              <w:t>和展</w:t>
            </w:r>
          </w:p>
        </w:tc>
        <w:tc>
          <w:tcPr>
            <w:shd w:val="clear" w:fill="B8CCE4"/>
            <w:tcW w:w="5942" w:type="dxa"/>
            <w:vAlign w:val="top"/>
          </w:tcPr>
          <w:p>
            <w:pPr>
              <w:pStyle w:val="TableText"/>
              <w:ind w:left="99" w:right="103"/>
              <w:spacing w:before="82" w:line="221" w:lineRule="auto"/>
              <w:rPr/>
            </w:pPr>
            <w:r>
              <w:rPr>
                <w:spacing w:val="13"/>
              </w:rPr>
              <w:t>公司披露的2023年</w:t>
            </w:r>
            <w:r>
              <w:rPr>
                <w:b/>
                <w:bCs/>
                <w:spacing w:val="13"/>
              </w:rPr>
              <w:t>三季度报告</w:t>
            </w:r>
            <w:r>
              <w:rPr>
                <w:spacing w:val="13"/>
              </w:rPr>
              <w:t>相关财务信息及20</w:t>
            </w:r>
            <w:r>
              <w:rPr>
                <w:spacing w:val="12"/>
              </w:rPr>
              <w:t>23年年报</w:t>
            </w:r>
            <w:r>
              <w:rPr>
                <w:b/>
                <w:bCs/>
                <w:spacing w:val="12"/>
              </w:rPr>
              <w:t>业</w:t>
            </w:r>
            <w:r>
              <w:rPr>
                <w:b/>
                <w:bCs/>
              </w:rPr>
              <w:t xml:space="preserve"> </w:t>
            </w:r>
            <w:r>
              <w:rPr>
                <w:b/>
                <w:bCs/>
                <w:spacing w:val="8"/>
              </w:rPr>
              <w:t>绩预告</w:t>
            </w:r>
            <w:r>
              <w:rPr>
                <w:spacing w:val="8"/>
              </w:rPr>
              <w:t>信息披露不准确。</w:t>
            </w:r>
          </w:p>
        </w:tc>
      </w:tr>
      <w:tr>
        <w:trPr>
          <w:trHeight w:val="1084" w:hRule="atLeast"/>
        </w:trPr>
        <w:tc>
          <w:tcPr>
            <w:tcW w:w="8706" w:type="dxa"/>
            <w:vAlign w:val="top"/>
            <w:gridSpan w:val="3"/>
          </w:tcPr>
          <w:p>
            <w:pPr>
              <w:pStyle w:val="TableText"/>
              <w:ind w:left="106" w:right="139" w:firstLine="16"/>
              <w:spacing w:before="40" w:line="241" w:lineRule="auto"/>
              <w:jc w:val="both"/>
              <w:rPr/>
            </w:pPr>
            <w:r>
              <w:rPr>
                <w:b/>
                <w:bCs/>
                <w:spacing w:val="9"/>
              </w:rPr>
              <w:t>【行政监管措施】</w:t>
            </w:r>
            <w:r>
              <w:rPr>
                <w:b/>
                <w:bCs/>
                <w:spacing w:val="-29"/>
              </w:rPr>
              <w:t xml:space="preserve"> </w:t>
            </w:r>
            <w:r>
              <w:rPr>
                <w:spacing w:val="9"/>
              </w:rPr>
              <w:t>中国证券监督管理委员会辽宁监管局决定</w:t>
            </w:r>
            <w:r>
              <w:rPr>
                <w:spacing w:val="8"/>
              </w:rPr>
              <w:t>对辽宁和展能源集团股份有限公</w:t>
            </w:r>
            <w:r>
              <w:rPr/>
              <w:t xml:space="preserve">  </w:t>
            </w:r>
            <w:r>
              <w:rPr>
                <w:spacing w:val="8"/>
              </w:rPr>
              <w:t>司及时任董事长,时任总经理侯某、财务总监任某鹏采取出具警示函的监督管理措施， 并记入</w:t>
            </w:r>
            <w:r>
              <w:rPr/>
              <w:t xml:space="preserve"> </w:t>
            </w:r>
            <w:r>
              <w:rPr>
                <w:spacing w:val="8"/>
              </w:rPr>
              <w:t>证券期货市场诚信档案。</w:t>
            </w:r>
          </w:p>
        </w:tc>
      </w:tr>
      <w:tr>
        <w:trPr>
          <w:trHeight w:val="724" w:hRule="atLeast"/>
        </w:trPr>
        <w:tc>
          <w:tcPr>
            <w:shd w:val="clear" w:fill="B8CCE4"/>
            <w:tcW w:w="1312" w:type="dxa"/>
            <w:vAlign w:val="top"/>
          </w:tcPr>
          <w:p>
            <w:pPr>
              <w:pStyle w:val="TableText"/>
              <w:ind w:left="290"/>
              <w:spacing w:before="281" w:line="178" w:lineRule="auto"/>
              <w:rPr/>
            </w:pPr>
            <w:r>
              <w:rPr>
                <w:spacing w:val="3"/>
              </w:rPr>
              <w:t>688306</w:t>
            </w:r>
          </w:p>
        </w:tc>
        <w:tc>
          <w:tcPr>
            <w:shd w:val="clear" w:fill="B8CCE4"/>
            <w:tcW w:w="1452" w:type="dxa"/>
            <w:vAlign w:val="top"/>
          </w:tcPr>
          <w:p>
            <w:pPr>
              <w:pStyle w:val="TableText"/>
              <w:ind w:left="296"/>
              <w:spacing w:before="264" w:line="190" w:lineRule="auto"/>
              <w:rPr/>
            </w:pPr>
            <w:r>
              <w:rPr>
                <w:spacing w:val="8"/>
              </w:rPr>
              <w:t>均普智能</w:t>
            </w:r>
          </w:p>
        </w:tc>
        <w:tc>
          <w:tcPr>
            <w:shd w:val="clear" w:fill="B8CCE4"/>
            <w:tcW w:w="5942" w:type="dxa"/>
            <w:vAlign w:val="top"/>
          </w:tcPr>
          <w:p>
            <w:pPr>
              <w:pStyle w:val="TableText"/>
              <w:ind w:left="99" w:right="105" w:firstLine="1"/>
              <w:spacing w:before="84" w:line="220" w:lineRule="auto"/>
              <w:rPr/>
            </w:pPr>
            <w:r>
              <w:rPr>
                <w:spacing w:val="9"/>
              </w:rPr>
              <w:t>延迟披露年度</w:t>
            </w:r>
            <w:r>
              <w:rPr>
                <w:b/>
                <w:bCs/>
                <w:spacing w:val="9"/>
              </w:rPr>
              <w:t>日常关联交易金额超预计</w:t>
            </w:r>
            <w:r>
              <w:rPr>
                <w:spacing w:val="9"/>
              </w:rPr>
              <w:t>情况； 未披露部分</w:t>
            </w:r>
            <w:r>
              <w:rPr>
                <w:b/>
                <w:bCs/>
                <w:spacing w:val="9"/>
              </w:rPr>
              <w:t>关联</w:t>
            </w:r>
            <w:r>
              <w:rPr>
                <w:b/>
                <w:bCs/>
                <w:spacing w:val="7"/>
              </w:rPr>
              <w:t xml:space="preserve"> </w:t>
            </w:r>
            <w:r>
              <w:rPr>
                <w:b/>
                <w:bCs/>
                <w:spacing w:val="4"/>
              </w:rPr>
              <w:t>交易</w:t>
            </w:r>
            <w:r>
              <w:rPr>
                <w:spacing w:val="4"/>
              </w:rPr>
              <w:t>。</w:t>
            </w:r>
          </w:p>
        </w:tc>
      </w:tr>
      <w:tr>
        <w:trPr>
          <w:trHeight w:val="1085" w:hRule="atLeast"/>
        </w:trPr>
        <w:tc>
          <w:tcPr>
            <w:tcW w:w="8706" w:type="dxa"/>
            <w:vAlign w:val="top"/>
            <w:gridSpan w:val="3"/>
          </w:tcPr>
          <w:p>
            <w:pPr>
              <w:pStyle w:val="TableText"/>
              <w:ind w:left="107" w:right="190" w:firstLine="15"/>
              <w:spacing w:before="45"/>
              <w:jc w:val="both"/>
              <w:rPr/>
            </w:pPr>
            <w:r>
              <w:rPr>
                <w:b/>
                <w:bCs/>
                <w:spacing w:val="9"/>
              </w:rPr>
              <w:t>【行政监管措施】</w:t>
            </w:r>
            <w:r>
              <w:rPr>
                <w:b/>
                <w:bCs/>
                <w:spacing w:val="-29"/>
              </w:rPr>
              <w:t xml:space="preserve"> </w:t>
            </w:r>
            <w:r>
              <w:rPr>
                <w:spacing w:val="9"/>
              </w:rPr>
              <w:t>中国证券监督管理委员会宁波监管局决定</w:t>
            </w:r>
            <w:r>
              <w:rPr>
                <w:spacing w:val="8"/>
              </w:rPr>
              <w:t>对均普智能及董事长周某宥、董</w:t>
            </w:r>
            <w:r>
              <w:rPr/>
              <w:t xml:space="preserve"> </w:t>
            </w:r>
            <w:r>
              <w:rPr>
                <w:spacing w:val="8"/>
              </w:rPr>
              <w:t>事会秘书孙某泰、</w:t>
            </w:r>
            <w:r>
              <w:rPr>
                <w:spacing w:val="-37"/>
              </w:rPr>
              <w:t xml:space="preserve"> </w:t>
            </w:r>
            <w:r>
              <w:rPr>
                <w:spacing w:val="8"/>
              </w:rPr>
              <w:t>时任董事会秘书郭某艳采取出具警</w:t>
            </w:r>
            <w:r>
              <w:rPr>
                <w:spacing w:val="7"/>
              </w:rPr>
              <w:t>示函的行政监管措施， 并计入证券期货</w:t>
            </w:r>
            <w:r>
              <w:rPr/>
              <w:t xml:space="preserve"> </w:t>
            </w:r>
            <w:r>
              <w:rPr>
                <w:spacing w:val="7"/>
              </w:rPr>
              <w:t>市场诚信档案。</w:t>
            </w:r>
          </w:p>
        </w:tc>
      </w:tr>
      <w:tr>
        <w:trPr>
          <w:trHeight w:val="1085" w:hRule="atLeast"/>
        </w:trPr>
        <w:tc>
          <w:tcPr>
            <w:shd w:val="clear" w:fill="B8CCE4"/>
            <w:tcW w:w="1312" w:type="dxa"/>
            <w:vAlign w:val="top"/>
          </w:tcPr>
          <w:p>
            <w:pPr>
              <w:spacing w:line="373" w:lineRule="auto"/>
              <w:rPr>
                <w:rFonts w:ascii="Arial"/>
                <w:sz w:val="21"/>
              </w:rPr>
            </w:pPr>
            <w:r/>
          </w:p>
          <w:p>
            <w:pPr>
              <w:pStyle w:val="TableText"/>
              <w:ind w:left="293"/>
              <w:spacing w:before="86" w:line="179" w:lineRule="auto"/>
              <w:rPr/>
            </w:pPr>
            <w:r>
              <w:rPr>
                <w:spacing w:val="3"/>
              </w:rPr>
              <w:t>301088</w:t>
            </w:r>
          </w:p>
        </w:tc>
        <w:tc>
          <w:tcPr>
            <w:shd w:val="clear" w:fill="B8CCE4"/>
            <w:tcW w:w="1452" w:type="dxa"/>
            <w:vAlign w:val="top"/>
          </w:tcPr>
          <w:p>
            <w:pPr>
              <w:spacing w:line="358" w:lineRule="auto"/>
              <w:rPr>
                <w:rFonts w:ascii="Arial"/>
                <w:sz w:val="21"/>
              </w:rPr>
            </w:pPr>
            <w:r/>
          </w:p>
          <w:p>
            <w:pPr>
              <w:pStyle w:val="TableText"/>
              <w:ind w:left="298"/>
              <w:spacing w:before="86" w:line="190" w:lineRule="auto"/>
              <w:rPr/>
            </w:pPr>
            <w:r>
              <w:rPr>
                <w:spacing w:val="8"/>
              </w:rPr>
              <w:t>戎美股份</w:t>
            </w:r>
          </w:p>
        </w:tc>
        <w:tc>
          <w:tcPr>
            <w:shd w:val="clear" w:fill="B8CCE4"/>
            <w:tcW w:w="5942" w:type="dxa"/>
            <w:vAlign w:val="top"/>
          </w:tcPr>
          <w:p>
            <w:pPr>
              <w:pStyle w:val="TableText"/>
              <w:ind w:left="99" w:right="103" w:firstLine="29"/>
              <w:spacing w:before="88" w:line="230" w:lineRule="auto"/>
              <w:jc w:val="both"/>
              <w:rPr/>
            </w:pPr>
            <w:r>
              <w:rPr>
                <w:spacing w:val="11"/>
              </w:rPr>
              <w:t>日禾戎美股份有限公司在招股说明书中披露“股</w:t>
            </w:r>
            <w:r>
              <w:rPr>
                <w:spacing w:val="10"/>
              </w:rPr>
              <w:t>东于某涛参与</w:t>
            </w:r>
            <w:r>
              <w:rPr/>
              <w:t xml:space="preserve"> </w:t>
            </w:r>
            <w:r>
              <w:rPr>
                <w:spacing w:val="19"/>
              </w:rPr>
              <w:t>增资的资金来源系其自有及家庭积累的资金</w:t>
            </w:r>
            <w:r>
              <w:rPr>
                <w:spacing w:val="-31"/>
              </w:rPr>
              <w:t xml:space="preserve"> </w:t>
            </w:r>
            <w:r>
              <w:rPr>
                <w:spacing w:val="19"/>
              </w:rPr>
              <w:t>”</w:t>
            </w:r>
            <w:r>
              <w:rPr>
                <w:b/>
                <w:bCs/>
                <w:spacing w:val="19"/>
              </w:rPr>
              <w:t>相关内容不真</w:t>
            </w:r>
            <w:r>
              <w:rPr>
                <w:b/>
                <w:bCs/>
              </w:rPr>
              <w:t xml:space="preserve"> </w:t>
            </w:r>
            <w:r>
              <w:rPr>
                <w:b/>
                <w:bCs/>
                <w:spacing w:val="3"/>
              </w:rPr>
              <w:t>实。</w:t>
            </w:r>
          </w:p>
        </w:tc>
      </w:tr>
      <w:tr>
        <w:trPr>
          <w:trHeight w:val="724" w:hRule="atLeast"/>
        </w:trPr>
        <w:tc>
          <w:tcPr>
            <w:tcW w:w="8706" w:type="dxa"/>
            <w:vAlign w:val="top"/>
            <w:gridSpan w:val="3"/>
          </w:tcPr>
          <w:p>
            <w:pPr>
              <w:pStyle w:val="TableText"/>
              <w:ind w:left="107" w:right="398" w:firstLine="16"/>
              <w:spacing w:before="44" w:line="234" w:lineRule="auto"/>
              <w:rPr/>
            </w:pPr>
            <w:r>
              <w:rPr>
                <w:b/>
                <w:bCs/>
                <w:spacing w:val="9"/>
              </w:rPr>
              <w:t>【行政监管措施】</w:t>
            </w:r>
            <w:r>
              <w:rPr>
                <w:b/>
                <w:bCs/>
                <w:spacing w:val="-29"/>
              </w:rPr>
              <w:t xml:space="preserve"> </w:t>
            </w:r>
            <w:r>
              <w:rPr>
                <w:spacing w:val="9"/>
              </w:rPr>
              <w:t>中国证券监督管理委员会江苏监管局对</w:t>
            </w:r>
            <w:r>
              <w:rPr>
                <w:spacing w:val="8"/>
              </w:rPr>
              <w:t>日禾戎美股份有限公司、高管郭</w:t>
            </w:r>
            <w:r>
              <w:rPr/>
              <w:t xml:space="preserve"> </w:t>
            </w:r>
            <w:r>
              <w:rPr>
                <w:spacing w:val="9"/>
              </w:rPr>
              <w:t>某、董事于某涛采取出具警示函的行政监管措施,并记入证券期货市场诚信档案。</w:t>
            </w:r>
          </w:p>
        </w:tc>
      </w:tr>
      <w:tr>
        <w:trPr>
          <w:trHeight w:val="364" w:hRule="atLeast"/>
        </w:trPr>
        <w:tc>
          <w:tcPr>
            <w:shd w:val="clear" w:fill="B8CCE4"/>
            <w:tcW w:w="1312" w:type="dxa"/>
            <w:vAlign w:val="top"/>
          </w:tcPr>
          <w:p>
            <w:pPr>
              <w:pStyle w:val="TableText"/>
              <w:ind w:left="287"/>
              <w:spacing w:before="103" w:line="175" w:lineRule="auto"/>
              <w:rPr/>
            </w:pPr>
            <w:r>
              <w:rPr>
                <w:spacing w:val="3"/>
              </w:rPr>
              <w:t>002952</w:t>
            </w:r>
          </w:p>
        </w:tc>
        <w:tc>
          <w:tcPr>
            <w:shd w:val="clear" w:fill="B8CCE4"/>
            <w:tcW w:w="1452" w:type="dxa"/>
            <w:vAlign w:val="top"/>
          </w:tcPr>
          <w:p>
            <w:pPr>
              <w:pStyle w:val="TableText"/>
              <w:ind w:left="297"/>
              <w:spacing w:before="90" w:line="184" w:lineRule="auto"/>
              <w:rPr/>
            </w:pPr>
            <w:r>
              <w:rPr>
                <w:spacing w:val="8"/>
              </w:rPr>
              <w:t>亚世光电</w:t>
            </w:r>
          </w:p>
        </w:tc>
        <w:tc>
          <w:tcPr>
            <w:shd w:val="clear" w:fill="B8CCE4"/>
            <w:tcW w:w="5942" w:type="dxa"/>
            <w:vAlign w:val="top"/>
          </w:tcPr>
          <w:p>
            <w:pPr>
              <w:pStyle w:val="TableText"/>
              <w:ind w:left="101"/>
              <w:spacing w:before="89" w:line="185" w:lineRule="auto"/>
              <w:rPr/>
            </w:pPr>
            <w:r>
              <w:rPr>
                <w:spacing w:val="8"/>
              </w:rPr>
              <w:t>监事亲属</w:t>
            </w:r>
            <w:r>
              <w:rPr>
                <w:b/>
                <w:bCs/>
                <w:spacing w:val="8"/>
              </w:rPr>
              <w:t>短线交易。</w:t>
            </w:r>
          </w:p>
        </w:tc>
      </w:tr>
      <w:tr>
        <w:trPr>
          <w:trHeight w:val="725" w:hRule="atLeast"/>
        </w:trPr>
        <w:tc>
          <w:tcPr>
            <w:tcW w:w="8706" w:type="dxa"/>
            <w:vAlign w:val="top"/>
            <w:gridSpan w:val="3"/>
          </w:tcPr>
          <w:p>
            <w:pPr>
              <w:pStyle w:val="TableText"/>
              <w:ind w:left="106" w:right="190" w:firstLine="16"/>
              <w:spacing w:before="48" w:line="233" w:lineRule="auto"/>
              <w:rPr/>
            </w:pPr>
            <w:r>
              <w:rPr>
                <w:b/>
                <w:bCs/>
                <w:spacing w:val="9"/>
              </w:rPr>
              <w:t>【行政监管措施</w:t>
            </w:r>
            <w:r>
              <w:rPr>
                <w:spacing w:val="9"/>
              </w:rPr>
              <w:t>】</w:t>
            </w:r>
            <w:r>
              <w:rPr>
                <w:spacing w:val="-29"/>
              </w:rPr>
              <w:t xml:space="preserve"> </w:t>
            </w:r>
            <w:r>
              <w:rPr>
                <w:spacing w:val="9"/>
              </w:rPr>
              <w:t>中国证券监督管理委员会辽宁监管局决定</w:t>
            </w:r>
            <w:r>
              <w:rPr>
                <w:spacing w:val="8"/>
              </w:rPr>
              <w:t>对监事那某采取出具警示函的监</w:t>
            </w:r>
            <w:r>
              <w:rPr/>
              <w:t xml:space="preserve"> </w:t>
            </w:r>
            <w:r>
              <w:rPr>
                <w:spacing w:val="5"/>
              </w:rPr>
              <w:t>管措施， 并记入证券期货市场诚信档案。</w:t>
            </w:r>
          </w:p>
        </w:tc>
      </w:tr>
      <w:tr>
        <w:trPr>
          <w:trHeight w:val="364" w:hRule="atLeast"/>
        </w:trPr>
        <w:tc>
          <w:tcPr>
            <w:shd w:val="clear" w:fill="B8CCE4"/>
            <w:tcW w:w="1312" w:type="dxa"/>
            <w:vAlign w:val="top"/>
          </w:tcPr>
          <w:p>
            <w:pPr>
              <w:pStyle w:val="TableText"/>
              <w:ind w:left="290"/>
              <w:spacing w:before="105" w:line="174" w:lineRule="auto"/>
              <w:rPr/>
            </w:pPr>
            <w:r>
              <w:rPr>
                <w:spacing w:val="3"/>
              </w:rPr>
              <w:t>603007</w:t>
            </w:r>
          </w:p>
        </w:tc>
        <w:tc>
          <w:tcPr>
            <w:shd w:val="clear" w:fill="B8CCE4"/>
            <w:tcW w:w="1452" w:type="dxa"/>
            <w:vAlign w:val="top"/>
          </w:tcPr>
          <w:p>
            <w:pPr>
              <w:pStyle w:val="TableText"/>
              <w:ind w:left="395"/>
              <w:spacing w:before="92" w:line="183" w:lineRule="auto"/>
              <w:rPr/>
            </w:pPr>
            <w:r>
              <w:rPr/>
              <w:t>ST</w:t>
            </w:r>
            <w:r>
              <w:rPr>
                <w:spacing w:val="8"/>
              </w:rPr>
              <w:t>花王</w:t>
            </w:r>
          </w:p>
        </w:tc>
        <w:tc>
          <w:tcPr>
            <w:shd w:val="clear" w:fill="B8CCE4"/>
            <w:tcW w:w="5942" w:type="dxa"/>
            <w:vAlign w:val="top"/>
          </w:tcPr>
          <w:p>
            <w:pPr>
              <w:pStyle w:val="TableText"/>
              <w:ind w:left="99"/>
              <w:spacing w:before="90" w:line="184" w:lineRule="auto"/>
              <w:rPr/>
            </w:pPr>
            <w:r>
              <w:rPr>
                <w:spacing w:val="8"/>
              </w:rPr>
              <w:t>公司</w:t>
            </w:r>
            <w:r>
              <w:rPr>
                <w:b/>
                <w:bCs/>
                <w:spacing w:val="8"/>
              </w:rPr>
              <w:t>2023年年报</w:t>
            </w:r>
            <w:r>
              <w:rPr>
                <w:spacing w:val="8"/>
              </w:rPr>
              <w:t>相关事项披露不准确。</w:t>
            </w:r>
          </w:p>
        </w:tc>
      </w:tr>
      <w:tr>
        <w:trPr>
          <w:trHeight w:val="1085" w:hRule="atLeast"/>
        </w:trPr>
        <w:tc>
          <w:tcPr>
            <w:tcW w:w="8706" w:type="dxa"/>
            <w:vAlign w:val="top"/>
            <w:gridSpan w:val="3"/>
          </w:tcPr>
          <w:p>
            <w:pPr>
              <w:pStyle w:val="TableText"/>
              <w:ind w:left="106" w:right="103" w:firstLine="16"/>
              <w:spacing w:before="49" w:line="239" w:lineRule="auto"/>
              <w:rPr/>
            </w:pPr>
            <w:r>
              <w:rPr>
                <w:b/>
                <w:bCs/>
                <w:spacing w:val="11"/>
              </w:rPr>
              <w:t>【行政监管措施】</w:t>
            </w:r>
            <w:r>
              <w:rPr>
                <w:b/>
                <w:bCs/>
                <w:spacing w:val="-27"/>
              </w:rPr>
              <w:t xml:space="preserve"> </w:t>
            </w:r>
            <w:r>
              <w:rPr>
                <w:spacing w:val="11"/>
              </w:rPr>
              <w:t>中国证券监督管理委员会江苏监管局决定对花王生</w:t>
            </w:r>
            <w:r>
              <w:rPr>
                <w:spacing w:val="10"/>
              </w:rPr>
              <w:t>态工程股份有限公司、</w:t>
            </w:r>
            <w:r>
              <w:rPr/>
              <w:t xml:space="preserve"> </w:t>
            </w:r>
            <w:r>
              <w:rPr>
                <w:spacing w:val="13"/>
              </w:rPr>
              <w:t>董事长,总经理贺某涛、董事会秘书,财务总监李某斌采取出具警示函</w:t>
            </w:r>
            <w:r>
              <w:rPr>
                <w:spacing w:val="12"/>
              </w:rPr>
              <w:t>的行政监管措施,并记入</w:t>
            </w:r>
            <w:r>
              <w:rPr/>
              <w:t xml:space="preserve"> </w:t>
            </w:r>
            <w:r>
              <w:rPr>
                <w:spacing w:val="8"/>
              </w:rPr>
              <w:t>证券期货市场诚信档案。</w:t>
            </w:r>
          </w:p>
        </w:tc>
      </w:tr>
      <w:tr>
        <w:trPr>
          <w:trHeight w:val="1084" w:hRule="atLeast"/>
        </w:trPr>
        <w:tc>
          <w:tcPr>
            <w:shd w:val="clear" w:fill="B8CCE4"/>
            <w:tcW w:w="1312" w:type="dxa"/>
            <w:vAlign w:val="top"/>
          </w:tcPr>
          <w:p>
            <w:pPr>
              <w:spacing w:line="380" w:lineRule="auto"/>
              <w:rPr>
                <w:rFonts w:ascii="Arial"/>
                <w:sz w:val="21"/>
              </w:rPr>
            </w:pPr>
            <w:r/>
          </w:p>
          <w:p>
            <w:pPr>
              <w:pStyle w:val="TableText"/>
              <w:ind w:left="287"/>
              <w:spacing w:before="85" w:line="178" w:lineRule="auto"/>
              <w:rPr/>
            </w:pPr>
            <w:r>
              <w:rPr>
                <w:spacing w:val="3"/>
              </w:rPr>
              <w:t>002573</w:t>
            </w:r>
          </w:p>
        </w:tc>
        <w:tc>
          <w:tcPr>
            <w:shd w:val="clear" w:fill="B8CCE4"/>
            <w:tcW w:w="1452" w:type="dxa"/>
            <w:vAlign w:val="top"/>
          </w:tcPr>
          <w:p>
            <w:pPr>
              <w:spacing w:line="365" w:lineRule="auto"/>
              <w:rPr>
                <w:rFonts w:ascii="Arial"/>
                <w:sz w:val="21"/>
              </w:rPr>
            </w:pPr>
            <w:r/>
          </w:p>
          <w:p>
            <w:pPr>
              <w:pStyle w:val="TableText"/>
              <w:ind w:left="296"/>
              <w:spacing w:before="86" w:line="189" w:lineRule="auto"/>
              <w:rPr/>
            </w:pPr>
            <w:r>
              <w:rPr>
                <w:spacing w:val="8"/>
              </w:rPr>
              <w:t>清新环境</w:t>
            </w:r>
          </w:p>
        </w:tc>
        <w:tc>
          <w:tcPr>
            <w:shd w:val="clear" w:fill="B8CCE4"/>
            <w:tcW w:w="5942" w:type="dxa"/>
            <w:vAlign w:val="top"/>
          </w:tcPr>
          <w:p>
            <w:pPr>
              <w:pStyle w:val="TableText"/>
              <w:ind w:left="99" w:right="103"/>
              <w:spacing w:before="91" w:line="229" w:lineRule="auto"/>
              <w:jc w:val="both"/>
              <w:rPr/>
            </w:pPr>
            <w:r>
              <w:rPr>
                <w:spacing w:val="10"/>
              </w:rPr>
              <w:t>北京清新环境技术股份有限公司触及应当披露业绩</w:t>
            </w:r>
            <w:r>
              <w:rPr>
                <w:spacing w:val="9"/>
              </w:rPr>
              <w:t>预告的情形,</w:t>
            </w:r>
            <w:r>
              <w:rPr/>
              <w:t xml:space="preserve"> </w:t>
            </w:r>
            <w:r>
              <w:rPr>
                <w:spacing w:val="16"/>
              </w:rPr>
              <w:t>但未按规定在2023年会计年度结束之日起一个月内披露</w:t>
            </w:r>
            <w:r>
              <w:rPr>
                <w:b/>
                <w:bCs/>
                <w:spacing w:val="16"/>
              </w:rPr>
              <w:t>业绩</w:t>
            </w:r>
            <w:r>
              <w:rPr>
                <w:b/>
                <w:bCs/>
                <w:spacing w:val="5"/>
              </w:rPr>
              <w:t xml:space="preserve"> </w:t>
            </w:r>
            <w:r>
              <w:rPr>
                <w:b/>
                <w:bCs/>
                <w:spacing w:val="5"/>
              </w:rPr>
              <w:t>预告。</w:t>
            </w:r>
          </w:p>
        </w:tc>
      </w:tr>
      <w:tr>
        <w:trPr>
          <w:trHeight w:val="733" w:hRule="atLeast"/>
        </w:trPr>
        <w:tc>
          <w:tcPr>
            <w:tcW w:w="8706" w:type="dxa"/>
            <w:vAlign w:val="top"/>
            <w:gridSpan w:val="3"/>
          </w:tcPr>
          <w:p>
            <w:pPr>
              <w:pStyle w:val="TableText"/>
              <w:ind w:left="109" w:right="139" w:firstLine="14"/>
              <w:spacing w:before="50" w:line="235" w:lineRule="auto"/>
              <w:rPr/>
            </w:pPr>
            <w:r>
              <w:rPr>
                <w:b/>
                <w:bCs/>
                <w:spacing w:val="9"/>
              </w:rPr>
              <w:t>【行政监管措施】</w:t>
            </w:r>
            <w:r>
              <w:rPr>
                <w:b/>
                <w:bCs/>
                <w:spacing w:val="-29"/>
              </w:rPr>
              <w:t xml:space="preserve"> </w:t>
            </w:r>
            <w:r>
              <w:rPr>
                <w:spacing w:val="9"/>
              </w:rPr>
              <w:t>中国证券监督管理委员会北京监管局决定</w:t>
            </w:r>
            <w:r>
              <w:rPr>
                <w:spacing w:val="8"/>
              </w:rPr>
              <w:t>对北京清新环境技术股份有限公</w:t>
            </w:r>
            <w:r>
              <w:rPr/>
              <w:t xml:space="preserve">  </w:t>
            </w:r>
            <w:r>
              <w:rPr>
                <w:spacing w:val="10"/>
              </w:rPr>
              <w:t>司、董事长邹某艾、总经理李某林、财务总监王某淳采</w:t>
            </w:r>
            <w:r>
              <w:rPr>
                <w:spacing w:val="9"/>
              </w:rPr>
              <w:t>取出具警示函的行政监管措施,并记入</w:t>
            </w:r>
          </w:p>
        </w:tc>
      </w:tr>
    </w:tbl>
    <w:p>
      <w:pPr>
        <w:pStyle w:val="BodyText"/>
        <w:rPr/>
      </w:pPr>
      <w:r/>
    </w:p>
    <w:p>
      <w:pPr>
        <w:sectPr>
          <w:pgSz w:w="11910" w:h="16840"/>
          <w:pgMar w:top="400" w:right="1694" w:bottom="0" w:left="757" w:header="0" w:footer="0" w:gutter="0"/>
        </w:sectPr>
        <w:rPr/>
      </w:pPr>
    </w:p>
    <w:tbl>
      <w:tblPr>
        <w:tblStyle w:val="TableNormal"/>
        <w:tblW w:w="8706"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12"/>
        <w:gridCol w:w="1452"/>
        <w:gridCol w:w="5942"/>
      </w:tblGrid>
      <w:tr>
        <w:trPr>
          <w:trHeight w:val="724" w:hRule="atLeast"/>
        </w:trPr>
        <w:tc>
          <w:tcPr>
            <w:tcW w:w="8706" w:type="dxa"/>
            <w:vAlign w:val="top"/>
            <w:gridSpan w:val="3"/>
            <w:tcBorders>
              <w:top w:val="single" w:color="FFFFFF" w:sz="2" w:space="0"/>
            </w:tcBorders>
          </w:tcPr>
          <w:p>
            <w:pPr>
              <w:pStyle w:val="TableText"/>
              <w:ind w:left="106"/>
              <w:spacing w:before="101" w:line="190" w:lineRule="auto"/>
              <w:rPr/>
            </w:pPr>
            <w:r>
              <w:rPr>
                <w:spacing w:val="8"/>
              </w:rPr>
              <w:t>证券期货市场诚信档案。</w:t>
            </w:r>
          </w:p>
        </w:tc>
      </w:tr>
      <w:tr>
        <w:trPr>
          <w:trHeight w:val="724" w:hRule="atLeast"/>
        </w:trPr>
        <w:tc>
          <w:tcPr>
            <w:shd w:val="clear" w:fill="B8CCE4"/>
            <w:tcW w:w="1312" w:type="dxa"/>
            <w:vAlign w:val="top"/>
          </w:tcPr>
          <w:p>
            <w:pPr>
              <w:pStyle w:val="TableText"/>
              <w:ind w:left="290"/>
              <w:spacing w:before="276" w:line="178" w:lineRule="auto"/>
              <w:rPr/>
            </w:pPr>
            <w:r>
              <w:rPr>
                <w:spacing w:val="3"/>
              </w:rPr>
              <w:t>600539</w:t>
            </w:r>
          </w:p>
        </w:tc>
        <w:tc>
          <w:tcPr>
            <w:shd w:val="clear" w:fill="B8CCE4"/>
            <w:tcW w:w="1452" w:type="dxa"/>
            <w:vAlign w:val="top"/>
          </w:tcPr>
          <w:p>
            <w:pPr>
              <w:pStyle w:val="TableText"/>
              <w:ind w:left="296"/>
              <w:spacing w:before="262" w:line="188" w:lineRule="auto"/>
              <w:rPr/>
            </w:pPr>
            <w:r>
              <w:rPr>
                <w:spacing w:val="8"/>
              </w:rPr>
              <w:t>狮头股份</w:t>
            </w:r>
          </w:p>
        </w:tc>
        <w:tc>
          <w:tcPr>
            <w:shd w:val="clear" w:fill="B8CCE4"/>
            <w:tcW w:w="5942" w:type="dxa"/>
            <w:vAlign w:val="top"/>
          </w:tcPr>
          <w:p>
            <w:pPr>
              <w:pStyle w:val="TableText"/>
              <w:ind w:left="99" w:right="103"/>
              <w:spacing w:before="82" w:line="221" w:lineRule="auto"/>
              <w:rPr/>
            </w:pPr>
            <w:r>
              <w:rPr>
                <w:spacing w:val="16"/>
              </w:rPr>
              <w:t>狮头科技发展股份有限公司在2022年至今的定期报告中未按</w:t>
            </w:r>
            <w:r>
              <w:rPr>
                <w:spacing w:val="5"/>
              </w:rPr>
              <w:t xml:space="preserve"> </w:t>
            </w:r>
            <w:r>
              <w:rPr>
                <w:spacing w:val="9"/>
              </w:rPr>
              <w:t>规定披露</w:t>
            </w:r>
            <w:r>
              <w:rPr>
                <w:b/>
                <w:bCs/>
                <w:spacing w:val="9"/>
              </w:rPr>
              <w:t>西丽实业重庆有限公司发生的资金占用事项。</w:t>
            </w:r>
          </w:p>
        </w:tc>
      </w:tr>
      <w:tr>
        <w:trPr>
          <w:trHeight w:val="726" w:hRule="atLeast"/>
        </w:trPr>
        <w:tc>
          <w:tcPr>
            <w:tcW w:w="8706" w:type="dxa"/>
            <w:vAlign w:val="top"/>
            <w:gridSpan w:val="3"/>
          </w:tcPr>
          <w:p>
            <w:pPr>
              <w:pStyle w:val="TableText"/>
              <w:ind w:left="106" w:right="190" w:firstLine="16"/>
              <w:spacing w:before="41" w:line="236" w:lineRule="auto"/>
              <w:rPr/>
            </w:pPr>
            <w:r>
              <w:rPr>
                <w:b/>
                <w:bCs/>
                <w:spacing w:val="9"/>
              </w:rPr>
              <w:t>【行政监管措施】</w:t>
            </w:r>
            <w:r>
              <w:rPr>
                <w:b/>
                <w:bCs/>
                <w:spacing w:val="-29"/>
              </w:rPr>
              <w:t xml:space="preserve"> </w:t>
            </w:r>
            <w:r>
              <w:rPr>
                <w:spacing w:val="9"/>
              </w:rPr>
              <w:t>中国证券监督管理委员会山西监管局决定</w:t>
            </w:r>
            <w:r>
              <w:rPr>
                <w:spacing w:val="8"/>
              </w:rPr>
              <w:t>对西丽实业重庆有限公司采取出</w:t>
            </w:r>
            <w:r>
              <w:rPr/>
              <w:t xml:space="preserve"> </w:t>
            </w:r>
            <w:r>
              <w:rPr>
                <w:spacing w:val="7"/>
              </w:rPr>
              <w:t>具警示函的监督管理措施， 并记入证券期货市场诚</w:t>
            </w:r>
            <w:r>
              <w:rPr>
                <w:spacing w:val="6"/>
              </w:rPr>
              <w:t>信档案。</w:t>
            </w:r>
          </w:p>
        </w:tc>
      </w:tr>
      <w:tr>
        <w:trPr>
          <w:trHeight w:val="1085" w:hRule="atLeast"/>
        </w:trPr>
        <w:tc>
          <w:tcPr>
            <w:shd w:val="clear" w:fill="B8CCE4"/>
            <w:tcW w:w="1312" w:type="dxa"/>
            <w:vAlign w:val="top"/>
          </w:tcPr>
          <w:p>
            <w:pPr>
              <w:spacing w:line="368" w:lineRule="auto"/>
              <w:rPr>
                <w:rFonts w:ascii="Arial"/>
                <w:sz w:val="21"/>
              </w:rPr>
            </w:pPr>
            <w:r/>
          </w:p>
          <w:p>
            <w:pPr>
              <w:pStyle w:val="TableText"/>
              <w:ind w:left="290"/>
              <w:spacing w:before="86" w:line="178" w:lineRule="auto"/>
              <w:rPr/>
            </w:pPr>
            <w:r>
              <w:rPr>
                <w:spacing w:val="3"/>
              </w:rPr>
              <w:t>600539</w:t>
            </w:r>
          </w:p>
        </w:tc>
        <w:tc>
          <w:tcPr>
            <w:shd w:val="clear" w:fill="B8CCE4"/>
            <w:tcW w:w="1452" w:type="dxa"/>
            <w:vAlign w:val="top"/>
          </w:tcPr>
          <w:p>
            <w:pPr>
              <w:spacing w:line="355" w:lineRule="auto"/>
              <w:rPr>
                <w:rFonts w:ascii="Arial"/>
                <w:sz w:val="21"/>
              </w:rPr>
            </w:pPr>
            <w:r/>
          </w:p>
          <w:p>
            <w:pPr>
              <w:pStyle w:val="TableText"/>
              <w:ind w:left="296"/>
              <w:spacing w:before="86" w:line="188" w:lineRule="auto"/>
              <w:rPr/>
            </w:pPr>
            <w:r>
              <w:rPr>
                <w:spacing w:val="8"/>
              </w:rPr>
              <w:t>狮头股份</w:t>
            </w:r>
          </w:p>
        </w:tc>
        <w:tc>
          <w:tcPr>
            <w:shd w:val="clear" w:fill="B8CCE4"/>
            <w:tcW w:w="5942" w:type="dxa"/>
            <w:vAlign w:val="top"/>
          </w:tcPr>
          <w:p>
            <w:pPr>
              <w:pStyle w:val="TableText"/>
              <w:ind w:left="99" w:right="103"/>
              <w:spacing w:before="79" w:line="232" w:lineRule="auto"/>
              <w:jc w:val="both"/>
              <w:rPr/>
            </w:pPr>
            <w:r>
              <w:rPr>
                <w:spacing w:val="16"/>
              </w:rPr>
              <w:t>公司在2023年半年度报告中未按规定披露关联方发生的</w:t>
            </w:r>
            <w:r>
              <w:rPr>
                <w:b/>
                <w:bCs/>
                <w:spacing w:val="16"/>
              </w:rPr>
              <w:t>资金</w:t>
            </w:r>
            <w:r>
              <w:rPr>
                <w:b/>
                <w:bCs/>
                <w:spacing w:val="5"/>
              </w:rPr>
              <w:t xml:space="preserve"> </w:t>
            </w:r>
            <w:r>
              <w:rPr>
                <w:b/>
                <w:bCs/>
                <w:spacing w:val="13"/>
              </w:rPr>
              <w:t>占用</w:t>
            </w:r>
            <w:r>
              <w:rPr>
                <w:spacing w:val="13"/>
              </w:rPr>
              <w:t>事项； 公司在2022年至今的定期报告中未按规定披露关</w:t>
            </w:r>
            <w:r>
              <w:rPr>
                <w:spacing w:val="17"/>
              </w:rPr>
              <w:t xml:space="preserve"> </w:t>
            </w:r>
            <w:r>
              <w:rPr>
                <w:spacing w:val="9"/>
              </w:rPr>
              <w:t>联方西丽实业重庆有限公司发生的</w:t>
            </w:r>
            <w:r>
              <w:rPr>
                <w:b/>
                <w:bCs/>
                <w:spacing w:val="9"/>
              </w:rPr>
              <w:t>资金占用</w:t>
            </w:r>
            <w:r>
              <w:rPr>
                <w:spacing w:val="9"/>
              </w:rPr>
              <w:t>事项。</w:t>
            </w:r>
          </w:p>
        </w:tc>
      </w:tr>
      <w:tr>
        <w:trPr>
          <w:trHeight w:val="1084" w:hRule="atLeast"/>
        </w:trPr>
        <w:tc>
          <w:tcPr>
            <w:tcW w:w="8706" w:type="dxa"/>
            <w:vAlign w:val="top"/>
            <w:gridSpan w:val="3"/>
          </w:tcPr>
          <w:p>
            <w:pPr>
              <w:pStyle w:val="TableText"/>
              <w:ind w:left="105" w:right="141" w:firstLine="17"/>
              <w:spacing w:before="40" w:line="241" w:lineRule="auto"/>
              <w:jc w:val="both"/>
              <w:rPr/>
            </w:pPr>
            <w:r>
              <w:rPr>
                <w:b/>
                <w:bCs/>
                <w:spacing w:val="8"/>
              </w:rPr>
              <w:t>【行政监管措施】</w:t>
            </w:r>
            <w:r>
              <w:rPr>
                <w:b/>
                <w:bCs/>
                <w:spacing w:val="-11"/>
              </w:rPr>
              <w:t xml:space="preserve"> </w:t>
            </w:r>
            <w:r>
              <w:rPr>
                <w:spacing w:val="8"/>
              </w:rPr>
              <w:t>中国证券监督管理委员会山西监管局决定对董事会秘书,董事长吴某辉、时</w:t>
            </w:r>
            <w:r>
              <w:rPr/>
              <w:t xml:space="preserve"> </w:t>
            </w:r>
            <w:r>
              <w:rPr>
                <w:spacing w:val="8"/>
              </w:rPr>
              <w:t>任总经理徐某华、高管方某兵采取出具警示函的监督管理措施， 并记入证券期货市场诚信档</w:t>
            </w:r>
            <w:r>
              <w:rPr>
                <w:spacing w:val="3"/>
              </w:rPr>
              <w:t xml:space="preserve">  </w:t>
            </w:r>
            <w:r>
              <w:rPr>
                <w:spacing w:val="3"/>
              </w:rPr>
              <w:t>案。</w:t>
            </w:r>
          </w:p>
        </w:tc>
      </w:tr>
      <w:tr>
        <w:trPr>
          <w:trHeight w:val="1085" w:hRule="atLeast"/>
        </w:trPr>
        <w:tc>
          <w:tcPr>
            <w:shd w:val="clear" w:fill="B8CCE4"/>
            <w:tcW w:w="1312" w:type="dxa"/>
            <w:vAlign w:val="top"/>
          </w:tcPr>
          <w:p>
            <w:pPr>
              <w:spacing w:line="370" w:lineRule="auto"/>
              <w:rPr>
                <w:rFonts w:ascii="Arial"/>
                <w:sz w:val="21"/>
              </w:rPr>
            </w:pPr>
            <w:r/>
          </w:p>
          <w:p>
            <w:pPr>
              <w:pStyle w:val="TableText"/>
              <w:ind w:left="290"/>
              <w:spacing w:before="86" w:line="178" w:lineRule="auto"/>
              <w:rPr/>
            </w:pPr>
            <w:r>
              <w:rPr>
                <w:spacing w:val="3"/>
              </w:rPr>
              <w:t>600539</w:t>
            </w:r>
          </w:p>
        </w:tc>
        <w:tc>
          <w:tcPr>
            <w:shd w:val="clear" w:fill="B8CCE4"/>
            <w:tcW w:w="1452" w:type="dxa"/>
            <w:vAlign w:val="top"/>
          </w:tcPr>
          <w:p>
            <w:pPr>
              <w:spacing w:line="357" w:lineRule="auto"/>
              <w:rPr>
                <w:rFonts w:ascii="Arial"/>
                <w:sz w:val="21"/>
              </w:rPr>
            </w:pPr>
            <w:r/>
          </w:p>
          <w:p>
            <w:pPr>
              <w:pStyle w:val="TableText"/>
              <w:ind w:left="296"/>
              <w:spacing w:before="86" w:line="188" w:lineRule="auto"/>
              <w:rPr/>
            </w:pPr>
            <w:r>
              <w:rPr>
                <w:spacing w:val="8"/>
              </w:rPr>
              <w:t>狮头股份</w:t>
            </w:r>
          </w:p>
        </w:tc>
        <w:tc>
          <w:tcPr>
            <w:shd w:val="clear" w:fill="B8CCE4"/>
            <w:tcW w:w="5942" w:type="dxa"/>
            <w:vAlign w:val="top"/>
          </w:tcPr>
          <w:p>
            <w:pPr>
              <w:pStyle w:val="TableText"/>
              <w:ind w:left="98" w:right="103" w:firstLine="2"/>
              <w:spacing w:before="84" w:line="231" w:lineRule="auto"/>
              <w:jc w:val="both"/>
              <w:rPr/>
            </w:pPr>
            <w:r>
              <w:rPr>
                <w:spacing w:val="10"/>
              </w:rPr>
              <w:t>年度报告财务数据信息披露不准确， 2018年至2023年年报财</w:t>
            </w:r>
            <w:r>
              <w:rPr>
                <w:spacing w:val="14"/>
              </w:rPr>
              <w:t xml:space="preserve"> </w:t>
            </w:r>
            <w:r>
              <w:rPr>
                <w:spacing w:val="7"/>
              </w:rPr>
              <w:t>务报告数据进行了差错更正， 受上述事项影响， 公司有关年度</w:t>
            </w:r>
            <w:r>
              <w:rPr>
                <w:spacing w:val="2"/>
              </w:rPr>
              <w:t xml:space="preserve"> </w:t>
            </w:r>
            <w:r>
              <w:rPr>
                <w:spacing w:val="9"/>
              </w:rPr>
              <w:t>报告中相关</w:t>
            </w:r>
            <w:r>
              <w:rPr>
                <w:b/>
                <w:bCs/>
                <w:spacing w:val="9"/>
              </w:rPr>
              <w:t>财务数据信息</w:t>
            </w:r>
            <w:r>
              <w:rPr>
                <w:spacing w:val="9"/>
              </w:rPr>
              <w:t>披露不准确。</w:t>
            </w:r>
          </w:p>
        </w:tc>
      </w:tr>
      <w:tr>
        <w:trPr>
          <w:trHeight w:val="724" w:hRule="atLeast"/>
        </w:trPr>
        <w:tc>
          <w:tcPr>
            <w:tcW w:w="8706" w:type="dxa"/>
            <w:vAlign w:val="top"/>
            <w:gridSpan w:val="3"/>
          </w:tcPr>
          <w:p>
            <w:pPr>
              <w:pStyle w:val="TableText"/>
              <w:ind w:left="105" w:right="190" w:firstLine="18"/>
              <w:spacing w:before="41" w:line="235" w:lineRule="auto"/>
              <w:rPr/>
            </w:pPr>
            <w:r>
              <w:rPr>
                <w:b/>
                <w:bCs/>
                <w:spacing w:val="8"/>
              </w:rPr>
              <w:t>【行政监管措施</w:t>
            </w:r>
            <w:r>
              <w:rPr>
                <w:spacing w:val="8"/>
              </w:rPr>
              <w:t>】</w:t>
            </w:r>
            <w:r>
              <w:rPr>
                <w:spacing w:val="-25"/>
              </w:rPr>
              <w:t xml:space="preserve"> </w:t>
            </w:r>
            <w:r>
              <w:rPr>
                <w:spacing w:val="8"/>
              </w:rPr>
              <w:t>中国证券监督管理委员会山西监管局决定对时任董事长赵某梅、</w:t>
            </w:r>
            <w:r>
              <w:rPr>
                <w:spacing w:val="-37"/>
              </w:rPr>
              <w:t xml:space="preserve"> </w:t>
            </w:r>
            <w:r>
              <w:rPr>
                <w:spacing w:val="8"/>
              </w:rPr>
              <w:t>时任高管</w:t>
            </w:r>
            <w:r>
              <w:rPr/>
              <w:t xml:space="preserve"> </w:t>
            </w:r>
            <w:r>
              <w:rPr>
                <w:spacing w:val="7"/>
              </w:rPr>
              <w:t>周某浩采取出具警示函的监督管理措施， 并记入证券期货市场诚信档案。</w:t>
            </w:r>
          </w:p>
        </w:tc>
      </w:tr>
      <w:tr>
        <w:trPr>
          <w:trHeight w:val="2165" w:hRule="atLeast"/>
        </w:trPr>
        <w:tc>
          <w:tcPr>
            <w:shd w:val="clear" w:fill="B8CCE4"/>
            <w:tcW w:w="1312" w:type="dxa"/>
            <w:vAlign w:val="top"/>
          </w:tcPr>
          <w:p>
            <w:pPr>
              <w:spacing w:line="303" w:lineRule="auto"/>
              <w:rPr>
                <w:rFonts w:ascii="Arial"/>
                <w:sz w:val="21"/>
              </w:rPr>
            </w:pPr>
            <w:r/>
          </w:p>
          <w:p>
            <w:pPr>
              <w:spacing w:line="304" w:lineRule="auto"/>
              <w:rPr>
                <w:rFonts w:ascii="Arial"/>
                <w:sz w:val="21"/>
              </w:rPr>
            </w:pPr>
            <w:r/>
          </w:p>
          <w:p>
            <w:pPr>
              <w:spacing w:line="304" w:lineRule="auto"/>
              <w:rPr>
                <w:rFonts w:ascii="Arial"/>
                <w:sz w:val="21"/>
              </w:rPr>
            </w:pPr>
            <w:r/>
          </w:p>
          <w:p>
            <w:pPr>
              <w:pStyle w:val="TableText"/>
              <w:ind w:left="290"/>
              <w:spacing w:before="86" w:line="178" w:lineRule="auto"/>
              <w:rPr/>
            </w:pPr>
            <w:r>
              <w:rPr>
                <w:spacing w:val="3"/>
              </w:rPr>
              <w:t>600539</w:t>
            </w:r>
          </w:p>
        </w:tc>
        <w:tc>
          <w:tcPr>
            <w:shd w:val="clear" w:fill="B8CCE4"/>
            <w:tcW w:w="1452" w:type="dxa"/>
            <w:vAlign w:val="top"/>
          </w:tcPr>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pStyle w:val="TableText"/>
              <w:ind w:left="296"/>
              <w:spacing w:before="85" w:line="188" w:lineRule="auto"/>
              <w:rPr/>
            </w:pPr>
            <w:r>
              <w:rPr>
                <w:spacing w:val="8"/>
              </w:rPr>
              <w:t>狮头股份</w:t>
            </w:r>
          </w:p>
        </w:tc>
        <w:tc>
          <w:tcPr>
            <w:shd w:val="clear" w:fill="B8CCE4"/>
            <w:tcW w:w="5942" w:type="dxa"/>
            <w:vAlign w:val="top"/>
          </w:tcPr>
          <w:p>
            <w:pPr>
              <w:pStyle w:val="TableText"/>
              <w:ind w:left="98" w:right="161" w:firstLine="2"/>
              <w:spacing w:before="87" w:line="241" w:lineRule="auto"/>
              <w:rPr/>
            </w:pPr>
            <w:r>
              <w:rPr>
                <w:spacing w:val="6"/>
              </w:rPr>
              <w:t>年度报告</w:t>
            </w:r>
            <w:r>
              <w:rPr>
                <w:b/>
                <w:bCs/>
                <w:spacing w:val="6"/>
              </w:rPr>
              <w:t>财务数据信息</w:t>
            </w:r>
            <w:r>
              <w:rPr>
                <w:spacing w:val="6"/>
              </w:rPr>
              <w:t>披露不准确， 2018年至2023年年报财</w:t>
            </w:r>
            <w:r>
              <w:rPr>
                <w:spacing w:val="7"/>
              </w:rPr>
              <w:t xml:space="preserve">  </w:t>
            </w:r>
            <w:r>
              <w:rPr>
                <w:spacing w:val="5"/>
              </w:rPr>
              <w:t>务报告数据进行了差错更正， 受上述事项影响， 狮头科技发展</w:t>
            </w:r>
            <w:r>
              <w:rPr>
                <w:spacing w:val="3"/>
              </w:rPr>
              <w:t xml:space="preserve"> </w:t>
            </w:r>
            <w:r>
              <w:rPr>
                <w:spacing w:val="9"/>
              </w:rPr>
              <w:t>股份有限公司有关年度报告中相关财务数据信息披露不准确；</w:t>
            </w:r>
            <w:r>
              <w:rPr>
                <w:spacing w:val="12"/>
              </w:rPr>
              <w:t xml:space="preserve"> </w:t>
            </w:r>
            <w:r>
              <w:rPr>
                <w:spacing w:val="9"/>
              </w:rPr>
              <w:t>公司在2023年半年度报告中未按规定披露关联方发生的</w:t>
            </w:r>
            <w:r>
              <w:rPr>
                <w:b/>
                <w:bCs/>
                <w:spacing w:val="9"/>
              </w:rPr>
              <w:t>资金</w:t>
            </w:r>
            <w:r>
              <w:rPr>
                <w:b/>
                <w:bCs/>
                <w:spacing w:val="2"/>
              </w:rPr>
              <w:t xml:space="preserve">   </w:t>
            </w:r>
            <w:r>
              <w:rPr>
                <w:b/>
                <w:bCs/>
                <w:spacing w:val="7"/>
              </w:rPr>
              <w:t>占用</w:t>
            </w:r>
            <w:r>
              <w:rPr>
                <w:spacing w:val="7"/>
              </w:rPr>
              <w:t>事项； 公司在2022年至今的定期报告中未按规</w:t>
            </w:r>
            <w:r>
              <w:rPr>
                <w:spacing w:val="6"/>
              </w:rPr>
              <w:t>定披露关</w:t>
            </w:r>
            <w:r>
              <w:rPr/>
              <w:t xml:space="preserve">   </w:t>
            </w:r>
            <w:r>
              <w:rPr>
                <w:spacing w:val="9"/>
              </w:rPr>
              <w:t>联方西丽实业重庆有限公司发生的</w:t>
            </w:r>
            <w:r>
              <w:rPr>
                <w:b/>
                <w:bCs/>
                <w:spacing w:val="9"/>
              </w:rPr>
              <w:t>资金占用</w:t>
            </w:r>
            <w:r>
              <w:rPr>
                <w:spacing w:val="9"/>
              </w:rPr>
              <w:t>事项。</w:t>
            </w:r>
          </w:p>
        </w:tc>
      </w:tr>
      <w:tr>
        <w:trPr>
          <w:trHeight w:val="724" w:hRule="atLeast"/>
        </w:trPr>
        <w:tc>
          <w:tcPr>
            <w:tcW w:w="8706" w:type="dxa"/>
            <w:vAlign w:val="top"/>
            <w:gridSpan w:val="3"/>
          </w:tcPr>
          <w:p>
            <w:pPr>
              <w:pStyle w:val="TableText"/>
              <w:ind w:left="106" w:right="103" w:firstLine="17"/>
              <w:spacing w:before="44" w:line="234" w:lineRule="auto"/>
              <w:rPr/>
            </w:pPr>
            <w:r>
              <w:rPr>
                <w:b/>
                <w:bCs/>
                <w:spacing w:val="11"/>
              </w:rPr>
              <w:t>【行政监管措施】</w:t>
            </w:r>
            <w:r>
              <w:rPr>
                <w:b/>
                <w:bCs/>
                <w:spacing w:val="-26"/>
              </w:rPr>
              <w:t xml:space="preserve"> </w:t>
            </w:r>
            <w:r>
              <w:rPr>
                <w:spacing w:val="11"/>
              </w:rPr>
              <w:t>中国证券监督管理委员会山西监管局决定对狮头</w:t>
            </w:r>
            <w:r>
              <w:rPr>
                <w:spacing w:val="10"/>
              </w:rPr>
              <w:t>科技发展股份有限公司采</w:t>
            </w:r>
            <w:r>
              <w:rPr/>
              <w:t xml:space="preserve"> </w:t>
            </w:r>
            <w:r>
              <w:rPr>
                <w:spacing w:val="7"/>
              </w:rPr>
              <w:t>取出具警示函的监督管理措施， 并记入证券期货市场诚信档案。</w:t>
            </w:r>
          </w:p>
        </w:tc>
      </w:tr>
      <w:tr>
        <w:trPr>
          <w:trHeight w:val="1445" w:hRule="atLeast"/>
        </w:trPr>
        <w:tc>
          <w:tcPr>
            <w:shd w:val="clear" w:fill="B8CCE4"/>
            <w:tcW w:w="1312" w:type="dxa"/>
            <w:vAlign w:val="top"/>
          </w:tcPr>
          <w:p>
            <w:pPr>
              <w:spacing w:line="277" w:lineRule="auto"/>
              <w:rPr>
                <w:rFonts w:ascii="Arial"/>
                <w:sz w:val="21"/>
              </w:rPr>
            </w:pPr>
            <w:r/>
          </w:p>
          <w:p>
            <w:pPr>
              <w:spacing w:line="278" w:lineRule="auto"/>
              <w:rPr>
                <w:rFonts w:ascii="Arial"/>
                <w:sz w:val="21"/>
              </w:rPr>
            </w:pPr>
            <w:r/>
          </w:p>
          <w:p>
            <w:pPr>
              <w:pStyle w:val="TableText"/>
              <w:ind w:left="290"/>
              <w:spacing w:before="86" w:line="178" w:lineRule="auto"/>
              <w:rPr/>
            </w:pPr>
            <w:r>
              <w:rPr>
                <w:spacing w:val="3"/>
              </w:rPr>
              <w:t>603536</w:t>
            </w:r>
          </w:p>
        </w:tc>
        <w:tc>
          <w:tcPr>
            <w:shd w:val="clear" w:fill="B8CCE4"/>
            <w:tcW w:w="1452" w:type="dxa"/>
            <w:vAlign w:val="top"/>
          </w:tcPr>
          <w:p>
            <w:pPr>
              <w:spacing w:line="270" w:lineRule="auto"/>
              <w:rPr>
                <w:rFonts w:ascii="Arial"/>
                <w:sz w:val="21"/>
              </w:rPr>
            </w:pPr>
            <w:r/>
          </w:p>
          <w:p>
            <w:pPr>
              <w:spacing w:line="270" w:lineRule="auto"/>
              <w:rPr>
                <w:rFonts w:ascii="Arial"/>
                <w:sz w:val="21"/>
              </w:rPr>
            </w:pPr>
            <w:r/>
          </w:p>
          <w:p>
            <w:pPr>
              <w:pStyle w:val="TableText"/>
              <w:ind w:left="298"/>
              <w:spacing w:before="86" w:line="189" w:lineRule="auto"/>
              <w:rPr/>
            </w:pPr>
            <w:r>
              <w:rPr>
                <w:spacing w:val="8"/>
              </w:rPr>
              <w:t>惠发食品</w:t>
            </w:r>
          </w:p>
        </w:tc>
        <w:tc>
          <w:tcPr>
            <w:shd w:val="clear" w:fill="B8CCE4"/>
            <w:tcW w:w="5942" w:type="dxa"/>
            <w:vAlign w:val="top"/>
          </w:tcPr>
          <w:p>
            <w:pPr>
              <w:pStyle w:val="TableText"/>
              <w:ind w:left="99" w:right="103" w:firstLine="9"/>
              <w:spacing w:before="90" w:line="235" w:lineRule="auto"/>
              <w:jc w:val="both"/>
              <w:rPr/>
            </w:pPr>
            <w:r>
              <w:rPr>
                <w:spacing w:val="10"/>
              </w:rPr>
              <w:t>2023年度</w:t>
            </w:r>
            <w:r>
              <w:rPr>
                <w:b/>
                <w:bCs/>
                <w:spacing w:val="10"/>
              </w:rPr>
              <w:t>财务报告</w:t>
            </w:r>
            <w:r>
              <w:rPr>
                <w:spacing w:val="10"/>
              </w:rPr>
              <w:t>披露不准确； 公司未在2023年年度报告中</w:t>
            </w:r>
            <w:r>
              <w:rPr>
                <w:spacing w:val="6"/>
              </w:rPr>
              <w:t xml:space="preserve"> </w:t>
            </w:r>
            <w:r>
              <w:rPr>
                <w:spacing w:val="8"/>
              </w:rPr>
              <w:t>的《营业收入扣除情况表》</w:t>
            </w:r>
            <w:r>
              <w:rPr>
                <w:spacing w:val="-20"/>
              </w:rPr>
              <w:t xml:space="preserve"> </w:t>
            </w:r>
            <w:r>
              <w:rPr>
                <w:spacing w:val="8"/>
              </w:rPr>
              <w:t>中披露</w:t>
            </w:r>
            <w:r>
              <w:rPr>
                <w:b/>
                <w:bCs/>
                <w:spacing w:val="8"/>
              </w:rPr>
              <w:t>扣除情况</w:t>
            </w:r>
            <w:r>
              <w:rPr>
                <w:spacing w:val="8"/>
              </w:rPr>
              <w:t>； 公司未按规定在</w:t>
            </w:r>
            <w:r>
              <w:rPr/>
              <w:t xml:space="preserve"> </w:t>
            </w:r>
            <w:r>
              <w:rPr>
                <w:spacing w:val="16"/>
              </w:rPr>
              <w:t>2023年年度报告中披露其他应收款按照单项</w:t>
            </w:r>
            <w:r>
              <w:rPr>
                <w:b/>
                <w:bCs/>
                <w:spacing w:val="16"/>
              </w:rPr>
              <w:t>计提</w:t>
            </w:r>
            <w:r>
              <w:rPr>
                <w:spacing w:val="16"/>
              </w:rPr>
              <w:t>坏账准备和</w:t>
            </w:r>
            <w:r>
              <w:rPr>
                <w:spacing w:val="3"/>
              </w:rPr>
              <w:t xml:space="preserve"> </w:t>
            </w:r>
            <w:r>
              <w:rPr>
                <w:spacing w:val="9"/>
              </w:rPr>
              <w:t>按照信用风险特征组合计提坏账准备的相关信息。</w:t>
            </w:r>
          </w:p>
        </w:tc>
      </w:tr>
      <w:tr>
        <w:trPr>
          <w:trHeight w:val="1085" w:hRule="atLeast"/>
        </w:trPr>
        <w:tc>
          <w:tcPr>
            <w:tcW w:w="8706" w:type="dxa"/>
            <w:vAlign w:val="top"/>
            <w:gridSpan w:val="3"/>
          </w:tcPr>
          <w:p>
            <w:pPr>
              <w:pStyle w:val="TableText"/>
              <w:ind w:left="104" w:right="235" w:firstLine="18"/>
              <w:spacing w:before="45"/>
              <w:jc w:val="both"/>
              <w:rPr/>
            </w:pPr>
            <w:r>
              <w:rPr>
                <w:b/>
                <w:bCs/>
                <w:spacing w:val="8"/>
              </w:rPr>
              <w:t>【行政监管措施】</w:t>
            </w:r>
            <w:r>
              <w:rPr>
                <w:b/>
                <w:bCs/>
                <w:spacing w:val="-29"/>
              </w:rPr>
              <w:t xml:space="preserve"> </w:t>
            </w:r>
            <w:r>
              <w:rPr>
                <w:spacing w:val="8"/>
              </w:rPr>
              <w:t>中国证券监督管理委员会山</w:t>
            </w:r>
            <w:r>
              <w:rPr>
                <w:spacing w:val="7"/>
              </w:rPr>
              <w:t>东监管局决定对董事长惠某玉、总经理徐某、</w:t>
            </w:r>
            <w:r>
              <w:rPr/>
              <w:t xml:space="preserve"> </w:t>
            </w:r>
            <w:r>
              <w:rPr>
                <w:spacing w:val="8"/>
              </w:rPr>
              <w:t>财务总监王某荣分别采取出具警示函的行政监管措施， 并记入证券期货市场诚信档案数据</w:t>
            </w:r>
            <w:r>
              <w:rPr>
                <w:spacing w:val="1"/>
              </w:rPr>
              <w:t xml:space="preserve">    </w:t>
            </w:r>
            <w:r>
              <w:rPr>
                <w:spacing w:val="3"/>
              </w:rPr>
              <w:t>库。</w:t>
            </w:r>
          </w:p>
        </w:tc>
      </w:tr>
      <w:tr>
        <w:trPr>
          <w:trHeight w:val="1804" w:hRule="atLeast"/>
        </w:trPr>
        <w:tc>
          <w:tcPr>
            <w:shd w:val="clear" w:fill="B8CCE4"/>
            <w:tcW w:w="1312"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93"/>
              <w:spacing w:before="85" w:line="178" w:lineRule="auto"/>
              <w:rPr/>
            </w:pPr>
            <w:r>
              <w:rPr>
                <w:spacing w:val="3"/>
              </w:rPr>
              <w:t>300265</w:t>
            </w:r>
          </w:p>
        </w:tc>
        <w:tc>
          <w:tcPr>
            <w:shd w:val="clear" w:fill="B8CCE4"/>
            <w:tcW w:w="1452" w:type="dxa"/>
            <w:vAlign w:val="top"/>
          </w:tcPr>
          <w:p>
            <w:pPr>
              <w:rPr>
                <w:rFonts w:ascii="Arial"/>
                <w:sz w:val="21"/>
              </w:rPr>
            </w:pPr>
            <w:r/>
          </w:p>
          <w:p>
            <w:pPr>
              <w:rPr>
                <w:rFonts w:ascii="Arial"/>
                <w:sz w:val="21"/>
              </w:rPr>
            </w:pPr>
            <w:r/>
          </w:p>
          <w:p>
            <w:pPr>
              <w:rPr>
                <w:rFonts w:ascii="Arial"/>
                <w:sz w:val="21"/>
              </w:rPr>
            </w:pPr>
            <w:r/>
          </w:p>
          <w:p>
            <w:pPr>
              <w:pStyle w:val="TableText"/>
              <w:ind w:left="296"/>
              <w:spacing w:before="86" w:line="189" w:lineRule="auto"/>
              <w:rPr/>
            </w:pPr>
            <w:r>
              <w:rPr>
                <w:spacing w:val="8"/>
              </w:rPr>
              <w:t>通光电缆</w:t>
            </w:r>
          </w:p>
        </w:tc>
        <w:tc>
          <w:tcPr>
            <w:shd w:val="clear" w:fill="B8CCE4"/>
            <w:tcW w:w="5942" w:type="dxa"/>
            <w:vAlign w:val="top"/>
          </w:tcPr>
          <w:p>
            <w:pPr>
              <w:pStyle w:val="TableText"/>
              <w:ind w:left="99" w:right="103"/>
              <w:spacing w:before="92" w:line="238" w:lineRule="auto"/>
              <w:jc w:val="both"/>
              <w:rPr/>
            </w:pPr>
            <w:r>
              <w:rPr>
                <w:spacing w:val="12"/>
              </w:rPr>
              <w:t>江苏通光电子线缆股份有限公司全资子公司江苏通光海洋</w:t>
            </w:r>
            <w:r>
              <w:rPr>
                <w:spacing w:val="11"/>
              </w:rPr>
              <w:t>光电</w:t>
            </w:r>
            <w:r>
              <w:rPr/>
              <w:t xml:space="preserve"> </w:t>
            </w:r>
            <w:r>
              <w:rPr>
                <w:spacing w:val="12"/>
              </w:rPr>
              <w:t>科技有限公司向其关联参股公司江苏海通达海洋工程有限</w:t>
            </w:r>
            <w:r>
              <w:rPr>
                <w:spacing w:val="11"/>
              </w:rPr>
              <w:t>公司</w:t>
            </w:r>
            <w:r>
              <w:rPr/>
              <w:t xml:space="preserve"> </w:t>
            </w:r>
            <w:r>
              <w:rPr>
                <w:spacing w:val="14"/>
              </w:rPr>
              <w:t>提供借款,</w:t>
            </w:r>
            <w:r>
              <w:rPr>
                <w:spacing w:val="-25"/>
              </w:rPr>
              <w:t xml:space="preserve"> </w:t>
            </w:r>
            <w:r>
              <w:rPr>
                <w:spacing w:val="14"/>
              </w:rPr>
              <w:t>因海通达的其他股东未按出资情况同比例提供资金,</w:t>
            </w:r>
            <w:r>
              <w:rPr/>
              <w:t xml:space="preserve"> </w:t>
            </w:r>
            <w:r>
              <w:rPr>
                <w:spacing w:val="10"/>
              </w:rPr>
              <w:t>构成了上市公司关联方的非经营性资金占用,</w:t>
            </w:r>
            <w:r>
              <w:rPr>
                <w:spacing w:val="9"/>
              </w:rPr>
              <w:t>且关联交易未及时</w:t>
            </w:r>
            <w:r>
              <w:rPr/>
              <w:t xml:space="preserve"> </w:t>
            </w:r>
            <w:r>
              <w:rPr>
                <w:spacing w:val="9"/>
              </w:rPr>
              <w:t>履行审议程序和信息披露义务。</w:t>
            </w:r>
          </w:p>
        </w:tc>
      </w:tr>
      <w:tr>
        <w:trPr>
          <w:trHeight w:val="724" w:hRule="atLeast"/>
        </w:trPr>
        <w:tc>
          <w:tcPr>
            <w:tcW w:w="8706" w:type="dxa"/>
            <w:vAlign w:val="top"/>
            <w:gridSpan w:val="3"/>
          </w:tcPr>
          <w:p>
            <w:pPr>
              <w:pStyle w:val="TableText"/>
              <w:ind w:left="109" w:right="190" w:firstLine="14"/>
              <w:spacing w:before="50" w:line="232" w:lineRule="auto"/>
              <w:rPr/>
            </w:pPr>
            <w:r>
              <w:rPr>
                <w:b/>
                <w:bCs/>
                <w:spacing w:val="9"/>
              </w:rPr>
              <w:t>【行政监管措施】</w:t>
            </w:r>
            <w:r>
              <w:rPr>
                <w:b/>
                <w:bCs/>
                <w:spacing w:val="-29"/>
              </w:rPr>
              <w:t xml:space="preserve"> </w:t>
            </w:r>
            <w:r>
              <w:rPr>
                <w:spacing w:val="9"/>
              </w:rPr>
              <w:t>中国证券监督管理委员会江苏监管局决定</w:t>
            </w:r>
            <w:r>
              <w:rPr>
                <w:spacing w:val="8"/>
              </w:rPr>
              <w:t>对江苏通光电子线缆股份有限公</w:t>
            </w:r>
            <w:r>
              <w:rPr/>
              <w:t xml:space="preserve"> </w:t>
            </w:r>
            <w:r>
              <w:rPr>
                <w:spacing w:val="9"/>
              </w:rPr>
              <w:t>司、董事长,总经理张某、财务总监陈某旭采取出具警示函的监管措施。</w:t>
            </w:r>
          </w:p>
        </w:tc>
      </w:tr>
      <w:tr>
        <w:trPr>
          <w:trHeight w:val="1085" w:hRule="atLeast"/>
        </w:trPr>
        <w:tc>
          <w:tcPr>
            <w:shd w:val="clear" w:fill="B8CCE4"/>
            <w:tcW w:w="1312" w:type="dxa"/>
            <w:vAlign w:val="top"/>
          </w:tcPr>
          <w:p>
            <w:pPr>
              <w:spacing w:line="380" w:lineRule="auto"/>
              <w:rPr>
                <w:rFonts w:ascii="Arial"/>
                <w:sz w:val="21"/>
              </w:rPr>
            </w:pPr>
            <w:r/>
          </w:p>
          <w:p>
            <w:pPr>
              <w:pStyle w:val="TableText"/>
              <w:ind w:left="293"/>
              <w:spacing w:before="85" w:line="178" w:lineRule="auto"/>
              <w:rPr/>
            </w:pPr>
            <w:r>
              <w:rPr>
                <w:spacing w:val="3"/>
              </w:rPr>
              <w:t>300495</w:t>
            </w:r>
          </w:p>
        </w:tc>
        <w:tc>
          <w:tcPr>
            <w:shd w:val="clear" w:fill="B8CCE4"/>
            <w:tcW w:w="1452" w:type="dxa"/>
            <w:vAlign w:val="top"/>
          </w:tcPr>
          <w:p>
            <w:pPr>
              <w:spacing w:line="364" w:lineRule="auto"/>
              <w:rPr>
                <w:rFonts w:ascii="Arial"/>
                <w:sz w:val="21"/>
              </w:rPr>
            </w:pPr>
            <w:r/>
          </w:p>
          <w:p>
            <w:pPr>
              <w:pStyle w:val="TableText"/>
              <w:ind w:left="342"/>
              <w:spacing w:before="85" w:line="190" w:lineRule="auto"/>
              <w:rPr/>
            </w:pPr>
            <w:r>
              <w:rPr>
                <w:spacing w:val="8"/>
              </w:rPr>
              <w:t>*</w:t>
            </w:r>
            <w:r>
              <w:rPr/>
              <w:t>ST</w:t>
            </w:r>
            <w:r>
              <w:rPr>
                <w:spacing w:val="8"/>
              </w:rPr>
              <w:t>美尚</w:t>
            </w:r>
          </w:p>
        </w:tc>
        <w:tc>
          <w:tcPr>
            <w:shd w:val="clear" w:fill="B8CCE4"/>
            <w:tcW w:w="5942" w:type="dxa"/>
            <w:vAlign w:val="top"/>
          </w:tcPr>
          <w:p>
            <w:pPr>
              <w:pStyle w:val="TableText"/>
              <w:ind w:left="99" w:right="103"/>
              <w:spacing w:before="58" w:line="237" w:lineRule="auto"/>
              <w:jc w:val="both"/>
              <w:rPr/>
            </w:pPr>
            <w:r>
              <w:rPr>
                <w:spacing w:val="14"/>
              </w:rPr>
              <w:t>天衡会计师事务所(特殊普通合伙)、注册会计师执业的</w:t>
            </w:r>
            <w:r>
              <w:rPr>
                <w:spacing w:val="13"/>
              </w:rPr>
              <w:t>美尚生</w:t>
            </w:r>
            <w:r>
              <w:rPr/>
              <w:t xml:space="preserve"> </w:t>
            </w:r>
            <w:r>
              <w:rPr>
                <w:spacing w:val="20"/>
              </w:rPr>
              <w:t>态景观股份有限公司2012年至2016年</w:t>
            </w:r>
            <w:r>
              <w:rPr>
                <w:b/>
                <w:bCs/>
                <w:spacing w:val="20"/>
              </w:rPr>
              <w:t>年报审计项目</w:t>
            </w:r>
            <w:r>
              <w:rPr>
                <w:spacing w:val="20"/>
              </w:rPr>
              <w:t>存在问</w:t>
            </w:r>
            <w:r>
              <w:rPr>
                <w:spacing w:val="4"/>
              </w:rPr>
              <w:t xml:space="preserve"> </w:t>
            </w:r>
            <w:r>
              <w:rPr>
                <w:spacing w:val="3"/>
              </w:rPr>
              <w:t>题。</w:t>
            </w:r>
          </w:p>
        </w:tc>
      </w:tr>
      <w:tr>
        <w:trPr>
          <w:trHeight w:val="732" w:hRule="atLeast"/>
        </w:trPr>
        <w:tc>
          <w:tcPr>
            <w:tcW w:w="8706" w:type="dxa"/>
            <w:vAlign w:val="top"/>
            <w:gridSpan w:val="3"/>
          </w:tcPr>
          <w:p>
            <w:pPr>
              <w:pStyle w:val="TableText"/>
              <w:ind w:left="106" w:right="120" w:firstLine="17"/>
              <w:spacing w:before="49" w:line="235" w:lineRule="auto"/>
              <w:rPr/>
            </w:pPr>
            <w:r>
              <w:rPr>
                <w:b/>
                <w:bCs/>
                <w:spacing w:val="9"/>
              </w:rPr>
              <w:t>【行政监管措施】</w:t>
            </w:r>
            <w:r>
              <w:rPr>
                <w:b/>
                <w:bCs/>
                <w:spacing w:val="-29"/>
              </w:rPr>
              <w:t xml:space="preserve"> </w:t>
            </w:r>
            <w:r>
              <w:rPr>
                <w:spacing w:val="9"/>
              </w:rPr>
              <w:t>中国证券监督管理委员会江苏</w:t>
            </w:r>
            <w:r>
              <w:rPr>
                <w:spacing w:val="8"/>
              </w:rPr>
              <w:t>监管局决定对天衡会计师事务所(特殊普通合</w:t>
            </w:r>
            <w:r>
              <w:rPr/>
              <w:t xml:space="preserve"> </w:t>
            </w:r>
            <w:r>
              <w:rPr>
                <w:spacing w:val="9"/>
              </w:rPr>
              <w:t>伙)、注册会计师采取出具警示函的监督管理措</w:t>
            </w:r>
            <w:r>
              <w:rPr>
                <w:spacing w:val="8"/>
              </w:rPr>
              <w:t>施。</w:t>
            </w:r>
          </w:p>
        </w:tc>
      </w:tr>
    </w:tbl>
    <w:p>
      <w:pPr>
        <w:pStyle w:val="BodyText"/>
        <w:rPr/>
      </w:pPr>
      <w:r/>
    </w:p>
    <w:p>
      <w:pPr>
        <w:sectPr>
          <w:pgSz w:w="11910" w:h="16840"/>
          <w:pgMar w:top="400" w:right="1694" w:bottom="0" w:left="1494" w:header="0" w:footer="0" w:gutter="0"/>
        </w:sectPr>
        <w:rPr/>
      </w:pPr>
    </w:p>
    <w:tbl>
      <w:tblPr>
        <w:tblStyle w:val="TableNormal"/>
        <w:tblW w:w="8706"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12"/>
        <w:gridCol w:w="1452"/>
        <w:gridCol w:w="5942"/>
      </w:tblGrid>
      <w:tr>
        <w:trPr>
          <w:trHeight w:val="744" w:hRule="atLeast"/>
        </w:trPr>
        <w:tc>
          <w:tcPr>
            <w:shd w:val="clear" w:fill="B8CCE4"/>
            <w:tcW w:w="1312" w:type="dxa"/>
            <w:vAlign w:val="top"/>
            <w:tcBorders>
              <w:top w:val="single" w:color="FFFFFF" w:sz="2" w:space="0"/>
            </w:tcBorders>
          </w:tcPr>
          <w:p>
            <w:pPr>
              <w:pStyle w:val="TableText"/>
              <w:ind w:left="287"/>
              <w:spacing w:before="295" w:line="178" w:lineRule="auto"/>
              <w:rPr/>
            </w:pPr>
            <w:r>
              <w:rPr>
                <w:spacing w:val="3"/>
              </w:rPr>
              <w:t>002945</w:t>
            </w:r>
          </w:p>
        </w:tc>
        <w:tc>
          <w:tcPr>
            <w:shd w:val="clear" w:fill="B8CCE4"/>
            <w:tcW w:w="1452" w:type="dxa"/>
            <w:vAlign w:val="top"/>
            <w:tcBorders>
              <w:top w:val="single" w:color="FFFFFF" w:sz="2" w:space="0"/>
            </w:tcBorders>
          </w:tcPr>
          <w:p>
            <w:pPr>
              <w:pStyle w:val="TableText"/>
              <w:ind w:left="298"/>
              <w:spacing w:before="280" w:line="189" w:lineRule="auto"/>
              <w:rPr/>
            </w:pPr>
            <w:r>
              <w:rPr>
                <w:spacing w:val="8"/>
              </w:rPr>
              <w:t>华林证券</w:t>
            </w:r>
          </w:p>
        </w:tc>
        <w:tc>
          <w:tcPr>
            <w:shd w:val="clear" w:fill="B8CCE4"/>
            <w:tcW w:w="5942" w:type="dxa"/>
            <w:vAlign w:val="top"/>
            <w:tcBorders>
              <w:top w:val="single" w:color="FFFFFF" w:sz="2" w:space="0"/>
            </w:tcBorders>
          </w:tcPr>
          <w:p>
            <w:pPr>
              <w:pStyle w:val="TableText"/>
              <w:ind w:left="101" w:right="103"/>
              <w:spacing w:before="102" w:line="221" w:lineRule="auto"/>
              <w:rPr/>
            </w:pPr>
            <w:r>
              <w:rPr>
                <w:spacing w:val="12"/>
              </w:rPr>
              <w:t>华林证券股份有限公司存在月度风险控制指标监管报</w:t>
            </w:r>
            <w:r>
              <w:rPr>
                <w:spacing w:val="11"/>
              </w:rPr>
              <w:t>表填报不</w:t>
            </w:r>
            <w:r>
              <w:rPr/>
              <w:t xml:space="preserve"> </w:t>
            </w:r>
            <w:r>
              <w:rPr>
                <w:spacing w:val="3"/>
              </w:rPr>
              <w:t>准确， 风控指标超标的问题。</w:t>
            </w:r>
          </w:p>
        </w:tc>
      </w:tr>
      <w:tr>
        <w:trPr>
          <w:trHeight w:val="725" w:hRule="atLeast"/>
        </w:trPr>
        <w:tc>
          <w:tcPr>
            <w:tcW w:w="8706" w:type="dxa"/>
            <w:vAlign w:val="top"/>
            <w:gridSpan w:val="3"/>
          </w:tcPr>
          <w:p>
            <w:pPr>
              <w:pStyle w:val="TableText"/>
              <w:ind w:left="118" w:right="190" w:firstLine="4"/>
              <w:spacing w:before="40" w:line="236" w:lineRule="auto"/>
              <w:rPr/>
            </w:pPr>
            <w:r>
              <w:rPr>
                <w:b/>
                <w:bCs/>
                <w:spacing w:val="9"/>
              </w:rPr>
              <w:t>【行政监管措施</w:t>
            </w:r>
            <w:r>
              <w:rPr>
                <w:spacing w:val="9"/>
              </w:rPr>
              <w:t>】</w:t>
            </w:r>
            <w:r>
              <w:rPr>
                <w:spacing w:val="-29"/>
              </w:rPr>
              <w:t xml:space="preserve"> </w:t>
            </w:r>
            <w:r>
              <w:rPr>
                <w:spacing w:val="9"/>
              </w:rPr>
              <w:t>中国证券监督管理委员会西藏监管局决定</w:t>
            </w:r>
            <w:r>
              <w:rPr>
                <w:spacing w:val="8"/>
              </w:rPr>
              <w:t>对温某斌、关某斌采取出具警示</w:t>
            </w:r>
            <w:r>
              <w:rPr/>
              <w:t xml:space="preserve"> </w:t>
            </w:r>
            <w:r>
              <w:rPr>
                <w:spacing w:val="6"/>
              </w:rPr>
              <w:t>函的监督管理措施， 并记入证券期货市场诚信档</w:t>
            </w:r>
            <w:r>
              <w:rPr>
                <w:spacing w:val="5"/>
              </w:rPr>
              <w:t>案。</w:t>
            </w:r>
          </w:p>
        </w:tc>
      </w:tr>
      <w:tr>
        <w:trPr>
          <w:trHeight w:val="365" w:hRule="atLeast"/>
        </w:trPr>
        <w:tc>
          <w:tcPr>
            <w:shd w:val="clear" w:fill="B8CCE4"/>
            <w:tcW w:w="1312" w:type="dxa"/>
            <w:vAlign w:val="top"/>
          </w:tcPr>
          <w:p>
            <w:pPr>
              <w:pStyle w:val="TableText"/>
              <w:ind w:left="287"/>
              <w:spacing w:before="96" w:line="178" w:lineRule="auto"/>
              <w:rPr/>
            </w:pPr>
            <w:r>
              <w:rPr>
                <w:spacing w:val="3"/>
              </w:rPr>
              <w:t>002945</w:t>
            </w:r>
          </w:p>
        </w:tc>
        <w:tc>
          <w:tcPr>
            <w:shd w:val="clear" w:fill="B8CCE4"/>
            <w:tcW w:w="1452" w:type="dxa"/>
            <w:vAlign w:val="top"/>
          </w:tcPr>
          <w:p>
            <w:pPr>
              <w:pStyle w:val="TableText"/>
              <w:ind w:left="298"/>
              <w:spacing w:before="82" w:line="189" w:lineRule="auto"/>
              <w:rPr/>
            </w:pPr>
            <w:r>
              <w:rPr>
                <w:spacing w:val="8"/>
              </w:rPr>
              <w:t>华林证券</w:t>
            </w:r>
          </w:p>
        </w:tc>
        <w:tc>
          <w:tcPr>
            <w:shd w:val="clear" w:fill="B8CCE4"/>
            <w:tcW w:w="5942" w:type="dxa"/>
            <w:vAlign w:val="top"/>
          </w:tcPr>
          <w:p>
            <w:pPr>
              <w:pStyle w:val="TableText"/>
              <w:ind w:left="101"/>
              <w:spacing w:before="80" w:line="190" w:lineRule="auto"/>
              <w:rPr/>
            </w:pPr>
            <w:r>
              <w:rPr>
                <w:spacing w:val="9"/>
              </w:rPr>
              <w:t>华林证券股份有限公司存在</w:t>
            </w:r>
            <w:r>
              <w:rPr>
                <w:b/>
                <w:bCs/>
                <w:spacing w:val="9"/>
              </w:rPr>
              <w:t>业务数据报送不准确</w:t>
            </w:r>
            <w:r>
              <w:rPr>
                <w:spacing w:val="9"/>
              </w:rPr>
              <w:t>的问题。</w:t>
            </w:r>
          </w:p>
        </w:tc>
      </w:tr>
      <w:tr>
        <w:trPr>
          <w:trHeight w:val="725" w:hRule="atLeast"/>
        </w:trPr>
        <w:tc>
          <w:tcPr>
            <w:tcW w:w="8706" w:type="dxa"/>
            <w:vAlign w:val="top"/>
            <w:gridSpan w:val="3"/>
          </w:tcPr>
          <w:p>
            <w:pPr>
              <w:pStyle w:val="TableText"/>
              <w:ind w:left="107" w:right="103" w:firstLine="16"/>
              <w:spacing w:before="40" w:line="236" w:lineRule="auto"/>
              <w:rPr/>
            </w:pPr>
            <w:r>
              <w:rPr>
                <w:b/>
                <w:bCs/>
                <w:spacing w:val="11"/>
              </w:rPr>
              <w:t>【行政监管措施】</w:t>
            </w:r>
            <w:r>
              <w:rPr>
                <w:b/>
                <w:bCs/>
                <w:spacing w:val="-26"/>
              </w:rPr>
              <w:t xml:space="preserve"> </w:t>
            </w:r>
            <w:r>
              <w:rPr>
                <w:spacing w:val="11"/>
              </w:rPr>
              <w:t>中国证券监督管理委员会西藏监管局决定对赵某</w:t>
            </w:r>
            <w:r>
              <w:rPr>
                <w:spacing w:val="10"/>
              </w:rPr>
              <w:t>星、张某威、李某祥、高</w:t>
            </w:r>
            <w:r>
              <w:rPr/>
              <w:t xml:space="preserve"> </w:t>
            </w:r>
            <w:r>
              <w:rPr>
                <w:spacing w:val="7"/>
              </w:rPr>
              <w:t>某明采取出具警示函的监督管理措施， 并记入证券期货市场诚信档案。</w:t>
            </w:r>
          </w:p>
        </w:tc>
      </w:tr>
      <w:tr>
        <w:trPr>
          <w:trHeight w:val="724" w:hRule="atLeast"/>
        </w:trPr>
        <w:tc>
          <w:tcPr>
            <w:shd w:val="clear" w:fill="B8CCE4"/>
            <w:tcW w:w="1312" w:type="dxa"/>
            <w:vAlign w:val="top"/>
          </w:tcPr>
          <w:p>
            <w:pPr>
              <w:pStyle w:val="TableText"/>
              <w:ind w:left="293"/>
              <w:spacing w:before="276" w:line="179" w:lineRule="auto"/>
              <w:rPr/>
            </w:pPr>
            <w:r>
              <w:rPr>
                <w:spacing w:val="3"/>
              </w:rPr>
              <w:t>301099</w:t>
            </w:r>
          </w:p>
        </w:tc>
        <w:tc>
          <w:tcPr>
            <w:shd w:val="clear" w:fill="B8CCE4"/>
            <w:tcW w:w="1452" w:type="dxa"/>
            <w:vAlign w:val="top"/>
          </w:tcPr>
          <w:p>
            <w:pPr>
              <w:pStyle w:val="TableText"/>
              <w:ind w:left="295"/>
              <w:spacing w:before="262" w:line="189" w:lineRule="auto"/>
              <w:rPr/>
            </w:pPr>
            <w:r>
              <w:rPr>
                <w:spacing w:val="8"/>
              </w:rPr>
              <w:t>雅创电子</w:t>
            </w:r>
          </w:p>
        </w:tc>
        <w:tc>
          <w:tcPr>
            <w:shd w:val="clear" w:fill="B8CCE4"/>
            <w:tcW w:w="5942" w:type="dxa"/>
            <w:vAlign w:val="top"/>
          </w:tcPr>
          <w:p>
            <w:pPr>
              <w:pStyle w:val="TableText"/>
              <w:ind w:left="100" w:right="105" w:hanging="1"/>
              <w:spacing w:before="82" w:line="221" w:lineRule="auto"/>
              <w:rPr/>
            </w:pPr>
            <w:r>
              <w:rPr>
                <w:spacing w:val="9"/>
              </w:rPr>
              <w:t>雅创电子前期披露的2023年半年报、</w:t>
            </w:r>
            <w:r>
              <w:rPr>
                <w:spacing w:val="-34"/>
              </w:rPr>
              <w:t xml:space="preserve"> </w:t>
            </w:r>
            <w:r>
              <w:rPr>
                <w:spacing w:val="9"/>
              </w:rPr>
              <w:t>2023年三季报以及2024</w:t>
            </w:r>
            <w:r>
              <w:rPr/>
              <w:t xml:space="preserve"> </w:t>
            </w:r>
            <w:r>
              <w:rPr>
                <w:spacing w:val="9"/>
              </w:rPr>
              <w:t>年一季报涉及相关</w:t>
            </w:r>
            <w:r>
              <w:rPr>
                <w:b/>
                <w:bCs/>
                <w:spacing w:val="9"/>
              </w:rPr>
              <w:t>财务信息披露不准确</w:t>
            </w:r>
            <w:r>
              <w:rPr>
                <w:spacing w:val="9"/>
              </w:rPr>
              <w:t>。</w:t>
            </w:r>
          </w:p>
        </w:tc>
      </w:tr>
      <w:tr>
        <w:trPr>
          <w:trHeight w:val="724" w:hRule="atLeast"/>
        </w:trPr>
        <w:tc>
          <w:tcPr>
            <w:tcW w:w="8706" w:type="dxa"/>
            <w:vAlign w:val="top"/>
            <w:gridSpan w:val="3"/>
          </w:tcPr>
          <w:p>
            <w:pPr>
              <w:pStyle w:val="TableText"/>
              <w:ind w:left="109" w:right="139" w:firstLine="14"/>
              <w:spacing w:before="41" w:line="235" w:lineRule="auto"/>
              <w:rPr/>
            </w:pPr>
            <w:r>
              <w:rPr>
                <w:b/>
                <w:bCs/>
                <w:spacing w:val="9"/>
              </w:rPr>
              <w:t>【行政监管措施】</w:t>
            </w:r>
            <w:r>
              <w:rPr>
                <w:b/>
                <w:bCs/>
                <w:spacing w:val="-29"/>
              </w:rPr>
              <w:t xml:space="preserve"> </w:t>
            </w:r>
            <w:r>
              <w:rPr>
                <w:spacing w:val="9"/>
              </w:rPr>
              <w:t>中国证券监督管理委员会上</w:t>
            </w:r>
            <w:r>
              <w:rPr>
                <w:spacing w:val="8"/>
              </w:rPr>
              <w:t>海监管局决定对雅创电子、董事长,总经理谢某</w:t>
            </w:r>
            <w:r>
              <w:rPr/>
              <w:t xml:space="preserve"> </w:t>
            </w:r>
            <w:r>
              <w:rPr>
                <w:spacing w:val="9"/>
              </w:rPr>
              <w:t>书、财务总监樊某磊采取出具警示函的行政监管措施。</w:t>
            </w:r>
          </w:p>
        </w:tc>
      </w:tr>
      <w:tr>
        <w:trPr>
          <w:trHeight w:val="1445" w:hRule="atLeast"/>
        </w:trPr>
        <w:tc>
          <w:tcPr>
            <w:shd w:val="clear" w:fill="B8CCE4"/>
            <w:tcW w:w="1312" w:type="dxa"/>
            <w:vAlign w:val="top"/>
          </w:tcPr>
          <w:p>
            <w:pPr>
              <w:spacing w:line="274" w:lineRule="auto"/>
              <w:rPr>
                <w:rFonts w:ascii="Arial"/>
                <w:sz w:val="21"/>
              </w:rPr>
            </w:pPr>
            <w:r/>
          </w:p>
          <w:p>
            <w:pPr>
              <w:spacing w:line="275" w:lineRule="auto"/>
              <w:rPr>
                <w:rFonts w:ascii="Arial"/>
                <w:sz w:val="21"/>
              </w:rPr>
            </w:pPr>
            <w:r/>
          </w:p>
          <w:p>
            <w:pPr>
              <w:pStyle w:val="TableText"/>
              <w:ind w:left="290"/>
              <w:spacing w:before="86" w:line="179" w:lineRule="auto"/>
              <w:rPr/>
            </w:pPr>
            <w:r>
              <w:rPr>
                <w:spacing w:val="3"/>
              </w:rPr>
              <w:t>600109</w:t>
            </w:r>
          </w:p>
        </w:tc>
        <w:tc>
          <w:tcPr>
            <w:shd w:val="clear" w:fill="B8CCE4"/>
            <w:tcW w:w="1452" w:type="dxa"/>
            <w:vAlign w:val="top"/>
          </w:tcPr>
          <w:p>
            <w:pPr>
              <w:spacing w:line="269" w:lineRule="auto"/>
              <w:rPr>
                <w:rFonts w:ascii="Arial"/>
                <w:sz w:val="21"/>
              </w:rPr>
            </w:pPr>
            <w:r/>
          </w:p>
          <w:p>
            <w:pPr>
              <w:spacing w:line="269" w:lineRule="auto"/>
              <w:rPr>
                <w:rFonts w:ascii="Arial"/>
                <w:sz w:val="21"/>
              </w:rPr>
            </w:pPr>
            <w:r/>
          </w:p>
          <w:p>
            <w:pPr>
              <w:pStyle w:val="TableText"/>
              <w:ind w:left="309"/>
              <w:spacing w:before="85" w:line="188" w:lineRule="auto"/>
              <w:rPr/>
            </w:pPr>
            <w:r>
              <w:rPr>
                <w:spacing w:val="5"/>
              </w:rPr>
              <w:t>国金证券</w:t>
            </w:r>
          </w:p>
        </w:tc>
        <w:tc>
          <w:tcPr>
            <w:shd w:val="clear" w:fill="B8CCE4"/>
            <w:tcW w:w="5942" w:type="dxa"/>
            <w:vAlign w:val="top"/>
          </w:tcPr>
          <w:p>
            <w:pPr>
              <w:pStyle w:val="TableText"/>
              <w:ind w:left="98" w:right="103" w:firstLine="13"/>
              <w:spacing w:before="85" w:line="236" w:lineRule="auto"/>
              <w:jc w:val="both"/>
              <w:rPr/>
            </w:pPr>
            <w:r>
              <w:rPr>
                <w:spacing w:val="11"/>
              </w:rPr>
              <w:t>国金证券股份有限公司成都青白江青江东路证券营业部存在一</w:t>
            </w:r>
            <w:r>
              <w:rPr>
                <w:spacing w:val="13"/>
              </w:rPr>
              <w:t xml:space="preserve"> </w:t>
            </w:r>
            <w:r>
              <w:rPr>
                <w:spacing w:val="20"/>
              </w:rPr>
              <w:t>是银证合作中违规委托证券经纪人以外的个人进行投资者招</w:t>
            </w:r>
            <w:r>
              <w:rPr>
                <w:spacing w:val="4"/>
              </w:rPr>
              <w:t xml:space="preserve"> </w:t>
            </w:r>
            <w:r>
              <w:rPr>
                <w:spacing w:val="9"/>
              </w:rPr>
              <w:t>揽、服务活动的问题， 二是未采取有效措施加强对经纪业务营</w:t>
            </w:r>
            <w:r>
              <w:rPr>
                <w:spacing w:val="12"/>
              </w:rPr>
              <w:t xml:space="preserve"> </w:t>
            </w:r>
            <w:r>
              <w:rPr>
                <w:spacing w:val="6"/>
              </w:rPr>
              <w:t>销活动的统一管理， 防范从业人员违规展业的问题。</w:t>
            </w:r>
          </w:p>
        </w:tc>
      </w:tr>
      <w:tr>
        <w:trPr>
          <w:trHeight w:val="1085" w:hRule="atLeast"/>
        </w:trPr>
        <w:tc>
          <w:tcPr>
            <w:tcW w:w="8706" w:type="dxa"/>
            <w:vAlign w:val="top"/>
            <w:gridSpan w:val="3"/>
          </w:tcPr>
          <w:p>
            <w:pPr>
              <w:pStyle w:val="TableText"/>
              <w:ind w:left="106" w:right="190" w:firstLine="16"/>
              <w:spacing w:before="45"/>
              <w:jc w:val="both"/>
              <w:rPr/>
            </w:pPr>
            <w:r>
              <w:rPr>
                <w:b/>
                <w:bCs/>
                <w:spacing w:val="9"/>
              </w:rPr>
              <w:t>【行政监管措施】</w:t>
            </w:r>
            <w:r>
              <w:rPr>
                <w:b/>
                <w:bCs/>
                <w:spacing w:val="-29"/>
              </w:rPr>
              <w:t xml:space="preserve"> </w:t>
            </w:r>
            <w:r>
              <w:rPr>
                <w:spacing w:val="9"/>
              </w:rPr>
              <w:t>中国证券监督管理委员会四川监管局决定</w:t>
            </w:r>
            <w:r>
              <w:rPr>
                <w:spacing w:val="8"/>
              </w:rPr>
              <w:t>对国金证券股份有限公司成都青</w:t>
            </w:r>
            <w:r>
              <w:rPr/>
              <w:t xml:space="preserve"> </w:t>
            </w:r>
            <w:r>
              <w:rPr>
                <w:spacing w:val="8"/>
              </w:rPr>
              <w:t>白江青江东路证券营业部采取出具警示函的行政监督管理措施， 并记入证券期货市场诚信档</w:t>
            </w:r>
            <w:r>
              <w:rPr>
                <w:spacing w:val="6"/>
              </w:rPr>
              <w:t xml:space="preserve"> </w:t>
            </w:r>
            <w:r>
              <w:rPr>
                <w:spacing w:val="2"/>
              </w:rPr>
              <w:t>案。</w:t>
            </w:r>
          </w:p>
        </w:tc>
      </w:tr>
      <w:tr>
        <w:trPr>
          <w:trHeight w:val="724" w:hRule="atLeast"/>
        </w:trPr>
        <w:tc>
          <w:tcPr>
            <w:shd w:val="clear" w:fill="B8CCE4"/>
            <w:tcW w:w="1312" w:type="dxa"/>
            <w:vAlign w:val="top"/>
          </w:tcPr>
          <w:p>
            <w:pPr>
              <w:pStyle w:val="TableText"/>
              <w:ind w:left="290"/>
              <w:spacing w:before="281" w:line="178" w:lineRule="auto"/>
              <w:rPr/>
            </w:pPr>
            <w:r>
              <w:rPr>
                <w:spacing w:val="3"/>
              </w:rPr>
              <w:t>603536</w:t>
            </w:r>
          </w:p>
        </w:tc>
        <w:tc>
          <w:tcPr>
            <w:shd w:val="clear" w:fill="B8CCE4"/>
            <w:tcW w:w="1452" w:type="dxa"/>
            <w:vAlign w:val="top"/>
          </w:tcPr>
          <w:p>
            <w:pPr>
              <w:pStyle w:val="TableText"/>
              <w:ind w:left="298"/>
              <w:spacing w:before="266" w:line="189" w:lineRule="auto"/>
              <w:rPr/>
            </w:pPr>
            <w:r>
              <w:rPr>
                <w:spacing w:val="8"/>
              </w:rPr>
              <w:t>惠发食品</w:t>
            </w:r>
          </w:p>
        </w:tc>
        <w:tc>
          <w:tcPr>
            <w:shd w:val="clear" w:fill="B8CCE4"/>
            <w:tcW w:w="5942" w:type="dxa"/>
            <w:vAlign w:val="top"/>
          </w:tcPr>
          <w:p>
            <w:pPr>
              <w:pStyle w:val="TableText"/>
              <w:ind w:left="98" w:right="103" w:firstLine="1"/>
              <w:spacing w:before="84" w:line="220" w:lineRule="auto"/>
              <w:rPr/>
            </w:pPr>
            <w:r>
              <w:rPr>
                <w:b/>
                <w:bCs/>
                <w:spacing w:val="13"/>
              </w:rPr>
              <w:t>资金账户管理相关内部控制</w:t>
            </w:r>
            <w:r>
              <w:rPr>
                <w:spacing w:val="13"/>
              </w:rPr>
              <w:t>不规范； 2023年</w:t>
            </w:r>
            <w:r>
              <w:rPr>
                <w:b/>
                <w:bCs/>
                <w:spacing w:val="13"/>
              </w:rPr>
              <w:t>年度报告</w:t>
            </w:r>
            <w:r>
              <w:rPr>
                <w:spacing w:val="13"/>
              </w:rPr>
              <w:t>相关信</w:t>
            </w:r>
            <w:r>
              <w:rPr>
                <w:spacing w:val="17"/>
              </w:rPr>
              <w:t xml:space="preserve"> </w:t>
            </w:r>
            <w:r>
              <w:rPr>
                <w:spacing w:val="8"/>
              </w:rPr>
              <w:t>息披露不准确不完整。</w:t>
            </w:r>
          </w:p>
        </w:tc>
      </w:tr>
      <w:tr>
        <w:trPr>
          <w:trHeight w:val="725" w:hRule="atLeast"/>
        </w:trPr>
        <w:tc>
          <w:tcPr>
            <w:tcW w:w="8706" w:type="dxa"/>
            <w:vAlign w:val="top"/>
            <w:gridSpan w:val="3"/>
          </w:tcPr>
          <w:p>
            <w:pPr>
              <w:pStyle w:val="TableText"/>
              <w:ind w:left="106" w:right="190" w:firstLine="17"/>
              <w:spacing w:before="45" w:line="234" w:lineRule="auto"/>
              <w:rPr/>
            </w:pPr>
            <w:r>
              <w:rPr>
                <w:b/>
                <w:bCs/>
                <w:spacing w:val="9"/>
              </w:rPr>
              <w:t>【行政监管措施】</w:t>
            </w:r>
            <w:r>
              <w:rPr>
                <w:b/>
                <w:bCs/>
                <w:spacing w:val="-29"/>
              </w:rPr>
              <w:t xml:space="preserve"> </w:t>
            </w:r>
            <w:r>
              <w:rPr>
                <w:spacing w:val="9"/>
              </w:rPr>
              <w:t>中国证券监督管理委员会山东监管局决定</w:t>
            </w:r>
            <w:r>
              <w:rPr>
                <w:spacing w:val="8"/>
              </w:rPr>
              <w:t>对山东惠发食品股份有限公司采</w:t>
            </w:r>
            <w:r>
              <w:rPr/>
              <w:t xml:space="preserve"> </w:t>
            </w:r>
            <w:r>
              <w:rPr>
                <w:spacing w:val="7"/>
              </w:rPr>
              <w:t>取责令改正的监督管理措施， 并记入证券期货市场诚信档案数据库。</w:t>
            </w:r>
          </w:p>
        </w:tc>
      </w:tr>
      <w:tr>
        <w:trPr>
          <w:trHeight w:val="1084" w:hRule="atLeast"/>
        </w:trPr>
        <w:tc>
          <w:tcPr>
            <w:shd w:val="clear" w:fill="B8CCE4"/>
            <w:tcW w:w="1312" w:type="dxa"/>
            <w:vAlign w:val="top"/>
          </w:tcPr>
          <w:p>
            <w:pPr>
              <w:spacing w:line="373" w:lineRule="auto"/>
              <w:rPr>
                <w:rFonts w:ascii="Arial"/>
                <w:sz w:val="21"/>
              </w:rPr>
            </w:pPr>
            <w:r/>
          </w:p>
          <w:p>
            <w:pPr>
              <w:pStyle w:val="TableText"/>
              <w:ind w:left="287"/>
              <w:spacing w:before="86" w:line="179" w:lineRule="auto"/>
              <w:rPr/>
            </w:pPr>
            <w:r>
              <w:rPr>
                <w:spacing w:val="3"/>
              </w:rPr>
              <w:t>002901</w:t>
            </w:r>
          </w:p>
        </w:tc>
        <w:tc>
          <w:tcPr>
            <w:shd w:val="clear" w:fill="B8CCE4"/>
            <w:tcW w:w="1452" w:type="dxa"/>
            <w:vAlign w:val="top"/>
          </w:tcPr>
          <w:p>
            <w:pPr>
              <w:spacing w:line="360" w:lineRule="auto"/>
              <w:rPr>
                <w:rFonts w:ascii="Arial"/>
                <w:sz w:val="21"/>
              </w:rPr>
            </w:pPr>
            <w:r/>
          </w:p>
          <w:p>
            <w:pPr>
              <w:pStyle w:val="TableText"/>
              <w:ind w:left="296"/>
              <w:spacing w:before="86" w:line="189" w:lineRule="auto"/>
              <w:rPr/>
            </w:pPr>
            <w:r>
              <w:rPr>
                <w:spacing w:val="8"/>
              </w:rPr>
              <w:t>大博医疗</w:t>
            </w:r>
          </w:p>
        </w:tc>
        <w:tc>
          <w:tcPr>
            <w:shd w:val="clear" w:fill="B8CCE4"/>
            <w:tcW w:w="5942" w:type="dxa"/>
            <w:vAlign w:val="top"/>
          </w:tcPr>
          <w:p>
            <w:pPr>
              <w:pStyle w:val="TableText"/>
              <w:ind w:left="98" w:right="103" w:firstLine="1"/>
              <w:spacing w:before="91" w:line="229" w:lineRule="auto"/>
              <w:jc w:val="both"/>
              <w:rPr/>
            </w:pPr>
            <w:r>
              <w:rPr>
                <w:b/>
                <w:bCs/>
                <w:spacing w:val="9"/>
              </w:rPr>
              <w:t>关联人名单及关联关系</w:t>
            </w:r>
            <w:r>
              <w:rPr>
                <w:spacing w:val="9"/>
              </w:rPr>
              <w:t>披露不完整； </w:t>
            </w:r>
            <w:r>
              <w:rPr>
                <w:b/>
                <w:bCs/>
                <w:spacing w:val="9"/>
              </w:rPr>
              <w:t>信息披露事务内部管理</w:t>
            </w:r>
            <w:r>
              <w:rPr>
                <w:spacing w:val="9"/>
              </w:rPr>
              <w:t>不</w:t>
            </w:r>
            <w:r>
              <w:rPr>
                <w:spacing w:val="11"/>
              </w:rPr>
              <w:t xml:space="preserve"> </w:t>
            </w:r>
            <w:r>
              <w:rPr>
                <w:spacing w:val="7"/>
              </w:rPr>
              <w:t>规范； </w:t>
            </w:r>
            <w:r>
              <w:rPr>
                <w:b/>
                <w:bCs/>
                <w:spacing w:val="7"/>
              </w:rPr>
              <w:t>内幕信息知情人</w:t>
            </w:r>
            <w:r>
              <w:rPr>
                <w:spacing w:val="7"/>
              </w:rPr>
              <w:t>登记管理制度执行不到位； </w:t>
            </w:r>
            <w:r>
              <w:rPr>
                <w:b/>
                <w:bCs/>
                <w:spacing w:val="7"/>
              </w:rPr>
              <w:t>闲置募集资</w:t>
            </w:r>
            <w:r>
              <w:rPr>
                <w:b/>
                <w:bCs/>
                <w:spacing w:val="2"/>
              </w:rPr>
              <w:t xml:space="preserve"> </w:t>
            </w:r>
            <w:r>
              <w:rPr>
                <w:b/>
                <w:bCs/>
                <w:spacing w:val="6"/>
              </w:rPr>
              <w:t>金使用</w:t>
            </w:r>
            <w:r>
              <w:rPr>
                <w:spacing w:val="6"/>
              </w:rPr>
              <w:t>不规范； </w:t>
            </w:r>
            <w:r>
              <w:rPr>
                <w:b/>
                <w:bCs/>
                <w:spacing w:val="6"/>
              </w:rPr>
              <w:t>年度报告</w:t>
            </w:r>
            <w:r>
              <w:rPr>
                <w:spacing w:val="6"/>
              </w:rPr>
              <w:t>信息披露存在简单错误。</w:t>
            </w:r>
          </w:p>
        </w:tc>
      </w:tr>
      <w:tr>
        <w:trPr>
          <w:trHeight w:val="1445" w:hRule="atLeast"/>
        </w:trPr>
        <w:tc>
          <w:tcPr>
            <w:tcW w:w="8706" w:type="dxa"/>
            <w:vAlign w:val="top"/>
            <w:gridSpan w:val="3"/>
          </w:tcPr>
          <w:p>
            <w:pPr>
              <w:pStyle w:val="TableText"/>
              <w:ind w:left="106" w:right="190" w:firstLine="17"/>
              <w:spacing w:before="45" w:line="243" w:lineRule="auto"/>
              <w:jc w:val="both"/>
              <w:rPr/>
            </w:pPr>
            <w:r>
              <w:rPr>
                <w:b/>
                <w:bCs/>
                <w:spacing w:val="9"/>
              </w:rPr>
              <w:t>【行政监管措施</w:t>
            </w:r>
            <w:r>
              <w:rPr>
                <w:spacing w:val="9"/>
              </w:rPr>
              <w:t>】</w:t>
            </w:r>
            <w:r>
              <w:rPr>
                <w:spacing w:val="-29"/>
              </w:rPr>
              <w:t xml:space="preserve"> </w:t>
            </w:r>
            <w:r>
              <w:rPr>
                <w:spacing w:val="9"/>
              </w:rPr>
              <w:t>中国证券监督管理委员会厦门监管局决定</w:t>
            </w:r>
            <w:r>
              <w:rPr>
                <w:spacing w:val="8"/>
              </w:rPr>
              <w:t>对大博医疗采取责令改正的监督</w:t>
            </w:r>
            <w:r>
              <w:rPr/>
              <w:t xml:space="preserve"> </w:t>
            </w:r>
            <w:r>
              <w:rPr>
                <w:spacing w:val="8"/>
              </w:rPr>
              <w:t>管理措施， 对董事长林某雄、总经理罗某、董事会秘书华某楠、财务总监陈某荷采取出具警</w:t>
            </w:r>
            <w:r>
              <w:rPr>
                <w:spacing w:val="6"/>
              </w:rPr>
              <w:t xml:space="preserve"> </w:t>
            </w:r>
            <w:r>
              <w:rPr>
                <w:spacing w:val="8"/>
              </w:rPr>
              <w:t>示函的监督管理措施， 并根据《证券期货市场诚信监督管理办法》的规定将相关情况记入诚</w:t>
            </w:r>
            <w:r>
              <w:rPr>
                <w:spacing w:val="6"/>
              </w:rPr>
              <w:t xml:space="preserve"> </w:t>
            </w:r>
            <w:r>
              <w:rPr>
                <w:spacing w:val="6"/>
              </w:rPr>
              <w:t>信档案。</w:t>
            </w:r>
          </w:p>
        </w:tc>
      </w:tr>
      <w:tr>
        <w:trPr>
          <w:trHeight w:val="2165" w:hRule="atLeast"/>
        </w:trPr>
        <w:tc>
          <w:tcPr>
            <w:shd w:val="clear" w:fill="B8CCE4"/>
            <w:tcW w:w="1312" w:type="dxa"/>
            <w:vAlign w:val="top"/>
          </w:tcPr>
          <w:p>
            <w:pPr>
              <w:spacing w:line="305" w:lineRule="auto"/>
              <w:rPr>
                <w:rFonts w:ascii="Arial"/>
                <w:sz w:val="21"/>
              </w:rPr>
            </w:pPr>
            <w:r/>
          </w:p>
          <w:p>
            <w:pPr>
              <w:spacing w:line="305" w:lineRule="auto"/>
              <w:rPr>
                <w:rFonts w:ascii="Arial"/>
                <w:sz w:val="21"/>
              </w:rPr>
            </w:pPr>
            <w:r/>
          </w:p>
          <w:p>
            <w:pPr>
              <w:spacing w:line="305" w:lineRule="auto"/>
              <w:rPr>
                <w:rFonts w:ascii="Arial"/>
                <w:sz w:val="21"/>
              </w:rPr>
            </w:pPr>
            <w:r/>
          </w:p>
          <w:p>
            <w:pPr>
              <w:pStyle w:val="TableText"/>
              <w:ind w:left="290"/>
              <w:spacing w:before="86" w:line="178" w:lineRule="auto"/>
              <w:rPr/>
            </w:pPr>
            <w:r>
              <w:rPr>
                <w:spacing w:val="3"/>
              </w:rPr>
              <w:t>603766</w:t>
            </w:r>
          </w:p>
        </w:tc>
        <w:tc>
          <w:tcPr>
            <w:shd w:val="clear" w:fill="B8CCE4"/>
            <w:tcW w:w="1452" w:type="dxa"/>
            <w:vAlign w:val="top"/>
          </w:tcPr>
          <w:p>
            <w:pPr>
              <w:spacing w:line="299" w:lineRule="auto"/>
              <w:rPr>
                <w:rFonts w:ascii="Arial"/>
                <w:sz w:val="21"/>
              </w:rPr>
            </w:pPr>
            <w:r/>
          </w:p>
          <w:p>
            <w:pPr>
              <w:spacing w:line="300" w:lineRule="auto"/>
              <w:rPr>
                <w:rFonts w:ascii="Arial"/>
                <w:sz w:val="21"/>
              </w:rPr>
            </w:pPr>
            <w:r/>
          </w:p>
          <w:p>
            <w:pPr>
              <w:spacing w:line="300" w:lineRule="auto"/>
              <w:rPr>
                <w:rFonts w:ascii="Arial"/>
                <w:sz w:val="21"/>
              </w:rPr>
            </w:pPr>
            <w:r/>
          </w:p>
          <w:p>
            <w:pPr>
              <w:pStyle w:val="TableText"/>
              <w:ind w:left="306"/>
              <w:spacing w:before="86" w:line="190" w:lineRule="auto"/>
              <w:rPr/>
            </w:pPr>
            <w:r>
              <w:rPr>
                <w:spacing w:val="6"/>
              </w:rPr>
              <w:t>隆鑫通用</w:t>
            </w:r>
          </w:p>
        </w:tc>
        <w:tc>
          <w:tcPr>
            <w:shd w:val="clear" w:fill="B8CCE4"/>
            <w:tcW w:w="5942" w:type="dxa"/>
            <w:vAlign w:val="top"/>
          </w:tcPr>
          <w:p>
            <w:pPr>
              <w:pStyle w:val="TableText"/>
              <w:ind w:left="98" w:right="103" w:firstLine="11"/>
              <w:spacing w:before="87" w:line="241" w:lineRule="auto"/>
              <w:jc w:val="both"/>
              <w:rPr/>
            </w:pPr>
            <w:r>
              <w:rPr>
                <w:spacing w:val="19"/>
              </w:rPr>
              <w:t>隆鑫通用动力股份有限公司第四届董事会已</w:t>
            </w:r>
            <w:r>
              <w:rPr>
                <w:spacing w:val="18"/>
              </w:rPr>
              <w:t>于2023年1月到</w:t>
            </w:r>
            <w:r>
              <w:rPr/>
              <w:t xml:space="preserve"> </w:t>
            </w:r>
            <w:r>
              <w:rPr>
                <w:spacing w:val="9"/>
              </w:rPr>
              <w:t>期， </w:t>
            </w:r>
            <w:r>
              <w:rPr>
                <w:b/>
                <w:bCs/>
                <w:spacing w:val="9"/>
              </w:rPr>
              <w:t>至今尚未换届</w:t>
            </w:r>
            <w:r>
              <w:rPr>
                <w:spacing w:val="9"/>
              </w:rPr>
              <w:t>。公司现任董事长、总经理因个人所负数额</w:t>
            </w:r>
            <w:r>
              <w:rPr>
                <w:spacing w:val="10"/>
              </w:rPr>
              <w:t xml:space="preserve"> </w:t>
            </w:r>
            <w:r>
              <w:rPr>
                <w:spacing w:val="17"/>
              </w:rPr>
              <w:t>较大的债务到期未清偿，</w:t>
            </w:r>
            <w:r>
              <w:rPr>
                <w:spacing w:val="26"/>
              </w:rPr>
              <w:t xml:space="preserve"> </w:t>
            </w:r>
            <w:r>
              <w:rPr>
                <w:spacing w:val="17"/>
              </w:rPr>
              <w:t>已被多家人民法院列为失信</w:t>
            </w:r>
            <w:r>
              <w:rPr>
                <w:spacing w:val="16"/>
              </w:rPr>
              <w:t>被执行</w:t>
            </w:r>
            <w:r>
              <w:rPr/>
              <w:t xml:space="preserve"> </w:t>
            </w:r>
            <w:r>
              <w:rPr>
                <w:spacing w:val="5"/>
              </w:rPr>
              <w:t>人， 构成《公司法》第一百七十八条第一款第 （五） </w:t>
            </w:r>
            <w:r>
              <w:rPr>
                <w:spacing w:val="4"/>
              </w:rPr>
              <w:t>项规定的</w:t>
            </w:r>
            <w:r>
              <w:rPr/>
              <w:t xml:space="preserve"> </w:t>
            </w:r>
            <w:r>
              <w:rPr>
                <w:spacing w:val="9"/>
              </w:rPr>
              <w:t>不能担任公司董事、高级管理人员的情形， 违反了《上市公司</w:t>
            </w:r>
            <w:r>
              <w:rPr>
                <w:spacing w:val="12"/>
              </w:rPr>
              <w:t xml:space="preserve"> </w:t>
            </w:r>
            <w:r>
              <w:rPr>
                <w:spacing w:val="9"/>
              </w:rPr>
              <w:t>治理准则》第二十五条的规定。</w:t>
            </w:r>
          </w:p>
        </w:tc>
      </w:tr>
      <w:tr>
        <w:trPr>
          <w:trHeight w:val="724" w:hRule="atLeast"/>
        </w:trPr>
        <w:tc>
          <w:tcPr>
            <w:tcW w:w="8706" w:type="dxa"/>
            <w:vAlign w:val="top"/>
            <w:gridSpan w:val="3"/>
          </w:tcPr>
          <w:p>
            <w:pPr>
              <w:pStyle w:val="TableText"/>
              <w:ind w:left="106" w:right="190" w:firstLine="17"/>
              <w:spacing w:before="50" w:line="232" w:lineRule="auto"/>
              <w:rPr/>
            </w:pPr>
            <w:r>
              <w:rPr>
                <w:b/>
                <w:bCs/>
                <w:spacing w:val="9"/>
              </w:rPr>
              <w:t>【行政监管措施】</w:t>
            </w:r>
            <w:r>
              <w:rPr>
                <w:b/>
                <w:bCs/>
                <w:spacing w:val="-29"/>
              </w:rPr>
              <w:t xml:space="preserve"> </w:t>
            </w:r>
            <w:r>
              <w:rPr>
                <w:spacing w:val="9"/>
              </w:rPr>
              <w:t>中国证券监督管理委员会重庆监管局决定</w:t>
            </w:r>
            <w:r>
              <w:rPr>
                <w:spacing w:val="8"/>
              </w:rPr>
              <w:t>对隆鑫通用动力股份有限公司采</w:t>
            </w:r>
            <w:r>
              <w:rPr/>
              <w:t xml:space="preserve"> </w:t>
            </w:r>
            <w:r>
              <w:rPr>
                <w:spacing w:val="8"/>
              </w:rPr>
              <w:t>取责令改正的行政监管措施。</w:t>
            </w:r>
          </w:p>
        </w:tc>
      </w:tr>
      <w:tr>
        <w:trPr>
          <w:trHeight w:val="1445" w:hRule="atLeast"/>
        </w:trPr>
        <w:tc>
          <w:tcPr>
            <w:shd w:val="clear" w:fill="B8CCE4"/>
            <w:tcW w:w="1312" w:type="dxa"/>
            <w:vAlign w:val="top"/>
          </w:tcPr>
          <w:p>
            <w:pPr>
              <w:spacing w:line="279" w:lineRule="auto"/>
              <w:rPr>
                <w:rFonts w:ascii="Arial"/>
                <w:sz w:val="21"/>
              </w:rPr>
            </w:pPr>
            <w:r/>
          </w:p>
          <w:p>
            <w:pPr>
              <w:spacing w:line="280" w:lineRule="auto"/>
              <w:rPr>
                <w:rFonts w:ascii="Arial"/>
                <w:sz w:val="21"/>
              </w:rPr>
            </w:pPr>
            <w:r/>
          </w:p>
          <w:p>
            <w:pPr>
              <w:pStyle w:val="TableText"/>
              <w:ind w:left="287"/>
              <w:spacing w:before="86" w:line="178" w:lineRule="auto"/>
              <w:rPr/>
            </w:pPr>
            <w:r>
              <w:rPr>
                <w:spacing w:val="3"/>
              </w:rPr>
              <w:t>002945</w:t>
            </w:r>
          </w:p>
        </w:tc>
        <w:tc>
          <w:tcPr>
            <w:shd w:val="clear" w:fill="B8CCE4"/>
            <w:tcW w:w="1452" w:type="dxa"/>
            <w:vAlign w:val="top"/>
          </w:tcPr>
          <w:p>
            <w:pPr>
              <w:spacing w:line="272" w:lineRule="auto"/>
              <w:rPr>
                <w:rFonts w:ascii="Arial"/>
                <w:sz w:val="21"/>
              </w:rPr>
            </w:pPr>
            <w:r/>
          </w:p>
          <w:p>
            <w:pPr>
              <w:spacing w:line="273" w:lineRule="auto"/>
              <w:rPr>
                <w:rFonts w:ascii="Arial"/>
                <w:sz w:val="21"/>
              </w:rPr>
            </w:pPr>
            <w:r/>
          </w:p>
          <w:p>
            <w:pPr>
              <w:pStyle w:val="TableText"/>
              <w:ind w:left="298"/>
              <w:spacing w:before="85" w:line="189" w:lineRule="auto"/>
              <w:rPr/>
            </w:pPr>
            <w:r>
              <w:rPr>
                <w:spacing w:val="8"/>
              </w:rPr>
              <w:t>华林证券</w:t>
            </w:r>
          </w:p>
        </w:tc>
        <w:tc>
          <w:tcPr>
            <w:shd w:val="clear" w:fill="B8CCE4"/>
            <w:tcW w:w="5942" w:type="dxa"/>
            <w:vAlign w:val="top"/>
          </w:tcPr>
          <w:p>
            <w:pPr>
              <w:pStyle w:val="TableText"/>
              <w:ind w:left="98" w:right="103" w:firstLine="3"/>
              <w:spacing w:before="96" w:line="234" w:lineRule="auto"/>
              <w:jc w:val="both"/>
              <w:rPr/>
            </w:pPr>
            <w:r>
              <w:rPr>
                <w:spacing w:val="9"/>
              </w:rPr>
              <w:t>华林证券股份有限公司存在以下问题： 一是月度风险控制指标 </w:t>
            </w:r>
            <w:r>
              <w:rPr>
                <w:spacing w:val="7"/>
              </w:rPr>
              <w:t>监管报表填报不准确， 风控指标超标； 二是业务数据报送不准</w:t>
            </w:r>
            <w:r>
              <w:rPr>
                <w:spacing w:val="2"/>
              </w:rPr>
              <w:t xml:space="preserve"> </w:t>
            </w:r>
            <w:r>
              <w:rPr>
                <w:spacing w:val="6"/>
              </w:rPr>
              <w:t>确； 三是多份情况说明前后不一致；</w:t>
            </w:r>
            <w:r>
              <w:rPr>
                <w:spacing w:val="37"/>
                <w:w w:val="101"/>
              </w:rPr>
              <w:t xml:space="preserve"> </w:t>
            </w:r>
            <w:r>
              <w:rPr>
                <w:spacing w:val="6"/>
              </w:rPr>
              <w:t>四是人员任免及执业资格</w:t>
            </w:r>
            <w:r>
              <w:rPr/>
              <w:t xml:space="preserve"> </w:t>
            </w:r>
            <w:r>
              <w:rPr>
                <w:spacing w:val="8"/>
              </w:rPr>
              <w:t>管理存在明显漏洞。</w:t>
            </w:r>
          </w:p>
        </w:tc>
      </w:tr>
      <w:tr>
        <w:trPr>
          <w:trHeight w:val="752" w:hRule="atLeast"/>
        </w:trPr>
        <w:tc>
          <w:tcPr>
            <w:tcW w:w="8706" w:type="dxa"/>
            <w:vAlign w:val="top"/>
            <w:gridSpan w:val="3"/>
          </w:tcPr>
          <w:p>
            <w:pPr>
              <w:pStyle w:val="TableText"/>
              <w:ind w:left="105" w:right="190" w:firstLine="17"/>
              <w:spacing w:before="52" w:line="241" w:lineRule="auto"/>
              <w:rPr/>
            </w:pPr>
            <w:r>
              <w:rPr>
                <w:b/>
                <w:bCs/>
                <w:spacing w:val="9"/>
              </w:rPr>
              <w:t>【行政监管措施</w:t>
            </w:r>
            <w:r>
              <w:rPr>
                <w:spacing w:val="9"/>
              </w:rPr>
              <w:t>】</w:t>
            </w:r>
            <w:r>
              <w:rPr>
                <w:spacing w:val="-29"/>
              </w:rPr>
              <w:t xml:space="preserve"> </w:t>
            </w:r>
            <w:r>
              <w:rPr>
                <w:spacing w:val="9"/>
              </w:rPr>
              <w:t>中国证券监督管理委员会西藏监管局决定</w:t>
            </w:r>
            <w:r>
              <w:rPr>
                <w:spacing w:val="8"/>
              </w:rPr>
              <w:t>对华林证券股份有限公司采取责</w:t>
            </w:r>
            <w:r>
              <w:rPr/>
              <w:t xml:space="preserve"> </w:t>
            </w:r>
            <w:r>
              <w:rPr>
                <w:spacing w:val="8"/>
              </w:rPr>
              <w:t>令限期改正、责令增加内部合规检查的次数并提交合规检查报告的监督管理措施， 记入证券</w:t>
            </w:r>
          </w:p>
        </w:tc>
      </w:tr>
    </w:tbl>
    <w:p>
      <w:pPr>
        <w:pStyle w:val="BodyText"/>
        <w:rPr/>
      </w:pPr>
      <w:r/>
    </w:p>
    <w:p>
      <w:pPr>
        <w:sectPr>
          <w:pgSz w:w="11910" w:h="16840"/>
          <w:pgMar w:top="400" w:right="1694" w:bottom="0" w:left="1494" w:header="0" w:footer="0" w:gutter="0"/>
        </w:sectPr>
        <w:rPr/>
      </w:pPr>
    </w:p>
    <w:tbl>
      <w:tblPr>
        <w:tblStyle w:val="TableNormal"/>
        <w:tblW w:w="8706" w:type="dxa"/>
        <w:tblInd w:w="744" w:type="dxa"/>
        <w:tblLayout w:type="fixed"/>
        <w:tblBorders>
          <w:left w:val="single" w:color="4F81BD" w:sz="6" w:space="0"/>
          <w:bottom w:val="single" w:color="4F81BD" w:sz="6" w:space="0"/>
          <w:right w:val="single" w:color="4F81BD" w:sz="6" w:space="0"/>
          <w:top w:val="single" w:color="FFFFFF" w:sz="2" w:space="0"/>
        </w:tblBorders>
      </w:tblPr>
      <w:tblGrid>
        <w:gridCol w:w="8706"/>
      </w:tblGrid>
      <w:tr>
        <w:trPr>
          <w:trHeight w:val="739" w:hRule="atLeast"/>
        </w:trPr>
        <w:tc>
          <w:tcPr>
            <w:tcW w:w="8706" w:type="dxa"/>
            <w:vAlign w:val="top"/>
          </w:tcPr>
          <w:p>
            <w:pPr>
              <w:pStyle w:val="TableText"/>
              <w:ind w:left="108" w:right="190" w:hanging="3"/>
              <w:spacing w:before="99" w:line="220" w:lineRule="auto"/>
              <w:rPr/>
            </w:pPr>
            <w:r>
              <w:rPr>
                <w:spacing w:val="9"/>
              </w:rPr>
              <w:t>期货市场诚信档案。</w:t>
            </w:r>
            <w:r>
              <w:rPr>
                <w:spacing w:val="-26"/>
              </w:rPr>
              <w:t xml:space="preserve"> </w:t>
            </w:r>
            <w:r>
              <w:rPr>
                <w:spacing w:val="9"/>
              </w:rPr>
              <w:t>中国证券监督管理委员会西藏监管局决定通过中国证券监督管理委员会</w:t>
            </w:r>
            <w:r>
              <w:rPr/>
              <w:t xml:space="preserve"> </w:t>
            </w:r>
            <w:r>
              <w:rPr>
                <w:spacing w:val="5"/>
              </w:rPr>
              <w:t>西藏监管局官网， 予以公开谴责， 记入证券期货</w:t>
            </w:r>
            <w:r>
              <w:rPr>
                <w:spacing w:val="4"/>
              </w:rPr>
              <w:t>市场诚信档案。</w:t>
            </w:r>
          </w:p>
        </w:tc>
      </w:tr>
    </w:tbl>
    <w:p>
      <w:pPr>
        <w:pStyle w:val="BodyText"/>
        <w:spacing w:line="319" w:lineRule="auto"/>
        <w:rPr/>
      </w:pPr>
      <w:r/>
    </w:p>
    <w:p>
      <w:pPr>
        <w:spacing w:before="102"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4"/>
        </w:rPr>
        <w:t>（4） 立案调查</w:t>
      </w:r>
    </w:p>
    <w:p>
      <w:pPr>
        <w:spacing w:line="174" w:lineRule="exact"/>
        <w:rPr/>
      </w:pPr>
      <w:r/>
    </w:p>
    <w:tbl>
      <w:tblPr>
        <w:tblStyle w:val="TableNormal"/>
        <w:tblW w:w="8706" w:type="dxa"/>
        <w:tblInd w:w="74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12"/>
        <w:gridCol w:w="1452"/>
        <w:gridCol w:w="5942"/>
      </w:tblGrid>
      <w:tr>
        <w:trPr>
          <w:trHeight w:val="387" w:hRule="atLeast"/>
        </w:trPr>
        <w:tc>
          <w:tcPr>
            <w:shd w:val="clear" w:fill="4F81BD"/>
            <w:tcW w:w="1312" w:type="dxa"/>
            <w:vAlign w:val="top"/>
            <w:tcBorders>
              <w:bottom w:val="single" w:color="FFFFFF" w:sz="2" w:space="0"/>
            </w:tcBorders>
          </w:tcPr>
          <w:p>
            <w:pPr>
              <w:pStyle w:val="TableText"/>
              <w:ind w:left="229"/>
              <w:spacing w:before="111" w:line="186" w:lineRule="auto"/>
              <w:rPr/>
            </w:pPr>
            <w:r>
              <w:rPr>
                <w:b/>
                <w:bCs/>
                <w:color w:val="FFFFFF"/>
                <w:spacing w:val="8"/>
              </w:rPr>
              <w:t>公司代码</w:t>
            </w:r>
          </w:p>
        </w:tc>
        <w:tc>
          <w:tcPr>
            <w:shd w:val="clear" w:fill="4F81BD"/>
            <w:tcW w:w="1452" w:type="dxa"/>
            <w:vAlign w:val="top"/>
            <w:tcBorders>
              <w:bottom w:val="single" w:color="FFFFFF" w:sz="2" w:space="0"/>
            </w:tcBorders>
          </w:tcPr>
          <w:p>
            <w:pPr>
              <w:pStyle w:val="TableText"/>
              <w:ind w:left="297"/>
              <w:spacing w:before="111" w:line="186" w:lineRule="auto"/>
              <w:rPr/>
            </w:pPr>
            <w:r>
              <w:rPr>
                <w:b/>
                <w:bCs/>
                <w:color w:val="FFFFFF"/>
                <w:spacing w:val="8"/>
              </w:rPr>
              <w:t>公司简称</w:t>
            </w:r>
          </w:p>
        </w:tc>
        <w:tc>
          <w:tcPr>
            <w:shd w:val="clear" w:fill="4F81BD"/>
            <w:tcW w:w="5942" w:type="dxa"/>
            <w:vAlign w:val="top"/>
            <w:tcBorders>
              <w:bottom w:val="single" w:color="FFFFFF" w:sz="2" w:space="0"/>
            </w:tcBorders>
          </w:tcPr>
          <w:p>
            <w:pPr>
              <w:pStyle w:val="TableText"/>
              <w:ind w:left="2543"/>
              <w:spacing w:before="111" w:line="186" w:lineRule="auto"/>
              <w:rPr/>
            </w:pPr>
            <w:r>
              <w:rPr>
                <w:b/>
                <w:bCs/>
                <w:color w:val="FFFFFF"/>
                <w:spacing w:val="8"/>
              </w:rPr>
              <w:t>违规行为</w:t>
            </w:r>
          </w:p>
        </w:tc>
      </w:tr>
      <w:tr>
        <w:trPr>
          <w:trHeight w:val="1089" w:hRule="atLeast"/>
        </w:trPr>
        <w:tc>
          <w:tcPr>
            <w:shd w:val="clear" w:fill="B8CCE4"/>
            <w:tcW w:w="1312" w:type="dxa"/>
            <w:vAlign w:val="top"/>
            <w:tcBorders>
              <w:top w:val="single" w:color="FFFFFF" w:sz="2" w:space="0"/>
            </w:tcBorders>
          </w:tcPr>
          <w:p>
            <w:pPr>
              <w:spacing w:line="372" w:lineRule="auto"/>
              <w:rPr>
                <w:rFonts w:ascii="Arial"/>
                <w:sz w:val="21"/>
              </w:rPr>
            </w:pPr>
            <w:r/>
          </w:p>
          <w:p>
            <w:pPr>
              <w:pStyle w:val="TableText"/>
              <w:ind w:left="290"/>
              <w:spacing w:before="85" w:line="178" w:lineRule="auto"/>
              <w:rPr/>
            </w:pPr>
            <w:r>
              <w:rPr>
                <w:spacing w:val="3"/>
              </w:rPr>
              <w:t>600624</w:t>
            </w:r>
          </w:p>
        </w:tc>
        <w:tc>
          <w:tcPr>
            <w:shd w:val="clear" w:fill="B8CCE4"/>
            <w:tcW w:w="1452" w:type="dxa"/>
            <w:vAlign w:val="top"/>
            <w:tcBorders>
              <w:top w:val="single" w:color="FFFFFF" w:sz="2" w:space="0"/>
            </w:tcBorders>
          </w:tcPr>
          <w:p>
            <w:pPr>
              <w:spacing w:line="357" w:lineRule="auto"/>
              <w:rPr>
                <w:rFonts w:ascii="Arial"/>
                <w:sz w:val="21"/>
              </w:rPr>
            </w:pPr>
            <w:r/>
          </w:p>
          <w:p>
            <w:pPr>
              <w:pStyle w:val="TableText"/>
              <w:ind w:left="296"/>
              <w:spacing w:before="86" w:line="189" w:lineRule="auto"/>
              <w:rPr/>
            </w:pPr>
            <w:r>
              <w:rPr>
                <w:spacing w:val="8"/>
              </w:rPr>
              <w:t>复旦复华</w:t>
            </w:r>
          </w:p>
        </w:tc>
        <w:tc>
          <w:tcPr>
            <w:shd w:val="clear" w:fill="B8CCE4"/>
            <w:tcW w:w="5942" w:type="dxa"/>
            <w:vAlign w:val="top"/>
            <w:tcBorders>
              <w:top w:val="single" w:color="FFFFFF" w:sz="2" w:space="0"/>
            </w:tcBorders>
          </w:tcPr>
          <w:p>
            <w:pPr>
              <w:pStyle w:val="TableText"/>
              <w:ind w:left="99" w:right="161" w:firstLine="14"/>
              <w:spacing w:before="49"/>
              <w:rPr/>
            </w:pPr>
            <w:r>
              <w:rPr>
                <w:spacing w:val="7"/>
              </w:rPr>
              <w:t>因公司</w:t>
            </w:r>
            <w:r>
              <w:rPr>
                <w:b/>
                <w:bCs/>
                <w:spacing w:val="7"/>
              </w:rPr>
              <w:t>涉嫌信息披露违法违规</w:t>
            </w:r>
            <w:r>
              <w:rPr>
                <w:spacing w:val="7"/>
              </w:rPr>
              <w:t>， 根据《中华</w:t>
            </w:r>
            <w:r>
              <w:rPr>
                <w:spacing w:val="6"/>
              </w:rPr>
              <w:t>人民共和国证券</w:t>
            </w:r>
            <w:r>
              <w:rPr/>
              <w:t xml:space="preserve">    </w:t>
            </w:r>
            <w:r>
              <w:rPr>
                <w:spacing w:val="7"/>
              </w:rPr>
              <w:t>法》《中华人民共和国行政处罚法》等法律法规， 中国证监会</w:t>
            </w:r>
            <w:r>
              <w:rPr>
                <w:spacing w:val="9"/>
              </w:rPr>
              <w:t xml:space="preserve"> </w:t>
            </w:r>
            <w:r>
              <w:rPr>
                <w:spacing w:val="8"/>
              </w:rPr>
              <w:t>决定对公司立案。</w:t>
            </w:r>
          </w:p>
        </w:tc>
      </w:tr>
      <w:tr>
        <w:trPr>
          <w:trHeight w:val="1084" w:hRule="atLeast"/>
        </w:trPr>
        <w:tc>
          <w:tcPr>
            <w:tcW w:w="1312" w:type="dxa"/>
            <w:vAlign w:val="top"/>
          </w:tcPr>
          <w:p>
            <w:pPr>
              <w:spacing w:line="369" w:lineRule="auto"/>
              <w:rPr>
                <w:rFonts w:ascii="Arial"/>
                <w:sz w:val="21"/>
              </w:rPr>
            </w:pPr>
            <w:r/>
          </w:p>
          <w:p>
            <w:pPr>
              <w:pStyle w:val="TableText"/>
              <w:ind w:left="290"/>
              <w:spacing w:before="86" w:line="178" w:lineRule="auto"/>
              <w:rPr/>
            </w:pPr>
            <w:r>
              <w:rPr>
                <w:spacing w:val="3"/>
              </w:rPr>
              <w:t>688553</w:t>
            </w:r>
          </w:p>
        </w:tc>
        <w:tc>
          <w:tcPr>
            <w:tcW w:w="1452" w:type="dxa"/>
            <w:vAlign w:val="top"/>
          </w:tcPr>
          <w:p>
            <w:pPr>
              <w:spacing w:line="355" w:lineRule="auto"/>
              <w:rPr>
                <w:rFonts w:ascii="Arial"/>
                <w:sz w:val="21"/>
              </w:rPr>
            </w:pPr>
            <w:r/>
          </w:p>
          <w:p>
            <w:pPr>
              <w:pStyle w:val="TableText"/>
              <w:ind w:left="295"/>
              <w:spacing w:before="85" w:line="189" w:lineRule="auto"/>
              <w:rPr/>
            </w:pPr>
            <w:r>
              <w:rPr>
                <w:spacing w:val="9"/>
              </w:rPr>
              <w:t>汇宇制药</w:t>
            </w:r>
          </w:p>
        </w:tc>
        <w:tc>
          <w:tcPr>
            <w:tcW w:w="5942" w:type="dxa"/>
            <w:vAlign w:val="top"/>
          </w:tcPr>
          <w:p>
            <w:pPr>
              <w:pStyle w:val="TableText"/>
              <w:ind w:left="99" w:right="161" w:firstLine="14"/>
              <w:spacing w:before="44"/>
              <w:jc w:val="both"/>
              <w:rPr/>
            </w:pPr>
            <w:r>
              <w:rPr>
                <w:spacing w:val="7"/>
              </w:rPr>
              <w:t>因公司董事长、总经理</w:t>
            </w:r>
            <w:r>
              <w:rPr>
                <w:b/>
                <w:bCs/>
                <w:spacing w:val="7"/>
              </w:rPr>
              <w:t>涉嫌短线交易汇宇制药股票</w:t>
            </w:r>
            <w:r>
              <w:rPr>
                <w:spacing w:val="7"/>
              </w:rPr>
              <w:t>，</w:t>
            </w:r>
            <w:r>
              <w:rPr>
                <w:spacing w:val="6"/>
              </w:rPr>
              <w:t xml:space="preserve"> 根据《中</w:t>
            </w:r>
            <w:r>
              <w:rPr/>
              <w:t xml:space="preserve"> </w:t>
            </w:r>
            <w:r>
              <w:rPr>
                <w:spacing w:val="10"/>
              </w:rPr>
              <w:t>华人民共和国证券法》《中华人民共和国行政处</w:t>
            </w:r>
            <w:r>
              <w:rPr>
                <w:spacing w:val="9"/>
              </w:rPr>
              <w:t>罚法》等法律</w:t>
            </w:r>
            <w:r>
              <w:rPr/>
              <w:t xml:space="preserve"> </w:t>
            </w:r>
            <w:r>
              <w:rPr>
                <w:spacing w:val="2"/>
              </w:rPr>
              <w:t>法规， 决定对其立案。</w:t>
            </w:r>
          </w:p>
        </w:tc>
      </w:tr>
      <w:tr>
        <w:trPr>
          <w:trHeight w:val="1083" w:hRule="atLeast"/>
        </w:trPr>
        <w:tc>
          <w:tcPr>
            <w:shd w:val="clear" w:fill="B8CCE4"/>
            <w:tcW w:w="1312" w:type="dxa"/>
            <w:vAlign w:val="top"/>
          </w:tcPr>
          <w:p>
            <w:pPr>
              <w:spacing w:line="372" w:lineRule="auto"/>
              <w:rPr>
                <w:rFonts w:ascii="Arial"/>
                <w:sz w:val="21"/>
              </w:rPr>
            </w:pPr>
            <w:r/>
          </w:p>
          <w:p>
            <w:pPr>
              <w:pStyle w:val="TableText"/>
              <w:ind w:left="290"/>
              <w:spacing w:before="86" w:line="178" w:lineRule="auto"/>
              <w:rPr/>
            </w:pPr>
            <w:r>
              <w:rPr>
                <w:spacing w:val="3"/>
              </w:rPr>
              <w:t>603377</w:t>
            </w:r>
          </w:p>
        </w:tc>
        <w:tc>
          <w:tcPr>
            <w:shd w:val="clear" w:fill="B8CCE4"/>
            <w:tcW w:w="1452" w:type="dxa"/>
            <w:vAlign w:val="top"/>
          </w:tcPr>
          <w:p>
            <w:pPr>
              <w:spacing w:line="357" w:lineRule="auto"/>
              <w:rPr>
                <w:rFonts w:ascii="Arial"/>
                <w:sz w:val="21"/>
              </w:rPr>
            </w:pPr>
            <w:r/>
          </w:p>
          <w:p>
            <w:pPr>
              <w:pStyle w:val="TableText"/>
              <w:ind w:left="395"/>
              <w:spacing w:before="86" w:line="189" w:lineRule="auto"/>
              <w:rPr/>
            </w:pPr>
            <w:r>
              <w:rPr/>
              <w:t>ST</w:t>
            </w:r>
            <w:r>
              <w:rPr>
                <w:spacing w:val="8"/>
              </w:rPr>
              <w:t>东时</w:t>
            </w:r>
          </w:p>
        </w:tc>
        <w:tc>
          <w:tcPr>
            <w:shd w:val="clear" w:fill="B8CCE4"/>
            <w:tcW w:w="5942" w:type="dxa"/>
            <w:vAlign w:val="top"/>
          </w:tcPr>
          <w:p>
            <w:pPr>
              <w:pStyle w:val="TableText"/>
              <w:ind w:left="100" w:right="161" w:firstLine="13"/>
              <w:spacing w:before="47" w:line="239" w:lineRule="auto"/>
              <w:jc w:val="both"/>
              <w:rPr/>
            </w:pPr>
            <w:r>
              <w:rPr>
                <w:spacing w:val="7"/>
              </w:rPr>
              <w:t>因实际控制人</w:t>
            </w:r>
            <w:r>
              <w:rPr>
                <w:b/>
                <w:bCs/>
                <w:spacing w:val="7"/>
              </w:rPr>
              <w:t>涉嫌信息披露违法违规</w:t>
            </w:r>
            <w:r>
              <w:rPr>
                <w:spacing w:val="7"/>
              </w:rPr>
              <w:t>， 根据《中华</w:t>
            </w:r>
            <w:r>
              <w:rPr>
                <w:spacing w:val="6"/>
              </w:rPr>
              <w:t>人民共和国</w:t>
            </w:r>
            <w:r>
              <w:rPr/>
              <w:t xml:space="preserve"> </w:t>
            </w:r>
            <w:r>
              <w:rPr>
                <w:spacing w:val="7"/>
              </w:rPr>
              <w:t>证券法》《中华人民共和国行政处罚法》等法律法规， 中国证</w:t>
            </w:r>
            <w:r>
              <w:rPr>
                <w:spacing w:val="9"/>
              </w:rPr>
              <w:t xml:space="preserve"> </w:t>
            </w:r>
            <w:r>
              <w:rPr>
                <w:spacing w:val="8"/>
              </w:rPr>
              <w:t>监会决定对其立案。</w:t>
            </w:r>
          </w:p>
        </w:tc>
      </w:tr>
      <w:tr>
        <w:trPr>
          <w:trHeight w:val="1084" w:hRule="atLeast"/>
        </w:trPr>
        <w:tc>
          <w:tcPr>
            <w:tcW w:w="1312" w:type="dxa"/>
            <w:vAlign w:val="top"/>
          </w:tcPr>
          <w:p>
            <w:pPr>
              <w:spacing w:line="373" w:lineRule="auto"/>
              <w:rPr>
                <w:rFonts w:ascii="Arial"/>
                <w:sz w:val="21"/>
              </w:rPr>
            </w:pPr>
            <w:r/>
          </w:p>
          <w:p>
            <w:pPr>
              <w:pStyle w:val="TableText"/>
              <w:ind w:left="287"/>
              <w:spacing w:before="86" w:line="178" w:lineRule="auto"/>
              <w:rPr/>
            </w:pPr>
            <w:r>
              <w:rPr>
                <w:spacing w:val="3"/>
              </w:rPr>
              <w:t>002360</w:t>
            </w:r>
          </w:p>
        </w:tc>
        <w:tc>
          <w:tcPr>
            <w:tcW w:w="1452" w:type="dxa"/>
            <w:vAlign w:val="top"/>
          </w:tcPr>
          <w:p>
            <w:pPr>
              <w:spacing w:line="358" w:lineRule="auto"/>
              <w:rPr>
                <w:rFonts w:ascii="Arial"/>
                <w:sz w:val="21"/>
              </w:rPr>
            </w:pPr>
            <w:r/>
          </w:p>
          <w:p>
            <w:pPr>
              <w:pStyle w:val="TableText"/>
              <w:ind w:left="311"/>
              <w:spacing w:before="86" w:line="189" w:lineRule="auto"/>
              <w:rPr/>
            </w:pPr>
            <w:r>
              <w:rPr>
                <w:spacing w:val="5"/>
              </w:rPr>
              <w:t>同德化工</w:t>
            </w:r>
          </w:p>
        </w:tc>
        <w:tc>
          <w:tcPr>
            <w:tcW w:w="5942" w:type="dxa"/>
            <w:vAlign w:val="top"/>
          </w:tcPr>
          <w:p>
            <w:pPr>
              <w:pStyle w:val="TableText"/>
              <w:ind w:left="99" w:right="161" w:firstLine="14"/>
              <w:spacing w:before="48" w:line="239" w:lineRule="auto"/>
              <w:rPr/>
            </w:pPr>
            <w:r>
              <w:rPr>
                <w:spacing w:val="7"/>
              </w:rPr>
              <w:t>因公司</w:t>
            </w:r>
            <w:r>
              <w:rPr>
                <w:b/>
                <w:bCs/>
                <w:spacing w:val="7"/>
              </w:rPr>
              <w:t>涉嫌信息披露违法违规</w:t>
            </w:r>
            <w:r>
              <w:rPr>
                <w:spacing w:val="7"/>
              </w:rPr>
              <w:t>， 根据《中华</w:t>
            </w:r>
            <w:r>
              <w:rPr>
                <w:spacing w:val="6"/>
              </w:rPr>
              <w:t>人民共和国证券</w:t>
            </w:r>
            <w:r>
              <w:rPr/>
              <w:t xml:space="preserve">    </w:t>
            </w:r>
            <w:r>
              <w:rPr>
                <w:spacing w:val="7"/>
              </w:rPr>
              <w:t>法》《中华人民共和国行政处罚法》等法律法规， 证监会决定</w:t>
            </w:r>
            <w:r>
              <w:rPr>
                <w:spacing w:val="9"/>
              </w:rPr>
              <w:t xml:space="preserve"> </w:t>
            </w:r>
            <w:r>
              <w:rPr>
                <w:spacing w:val="7"/>
              </w:rPr>
              <w:t>对公司立案。</w:t>
            </w:r>
          </w:p>
        </w:tc>
      </w:tr>
      <w:tr>
        <w:trPr>
          <w:trHeight w:val="1084" w:hRule="atLeast"/>
        </w:trPr>
        <w:tc>
          <w:tcPr>
            <w:shd w:val="clear" w:fill="B8CCE4"/>
            <w:tcW w:w="1312" w:type="dxa"/>
            <w:vAlign w:val="top"/>
          </w:tcPr>
          <w:p>
            <w:pPr>
              <w:spacing w:line="376" w:lineRule="auto"/>
              <w:rPr>
                <w:rFonts w:ascii="Arial"/>
                <w:sz w:val="21"/>
              </w:rPr>
            </w:pPr>
            <w:r/>
          </w:p>
          <w:p>
            <w:pPr>
              <w:pStyle w:val="TableText"/>
              <w:ind w:left="287"/>
              <w:spacing w:before="85" w:line="178" w:lineRule="auto"/>
              <w:rPr/>
            </w:pPr>
            <w:r>
              <w:rPr>
                <w:spacing w:val="3"/>
              </w:rPr>
              <w:t>000698</w:t>
            </w:r>
          </w:p>
        </w:tc>
        <w:tc>
          <w:tcPr>
            <w:shd w:val="clear" w:fill="B8CCE4"/>
            <w:tcW w:w="1452" w:type="dxa"/>
            <w:vAlign w:val="top"/>
          </w:tcPr>
          <w:p>
            <w:pPr>
              <w:spacing w:line="362" w:lineRule="auto"/>
              <w:rPr>
                <w:rFonts w:ascii="Arial"/>
                <w:sz w:val="21"/>
              </w:rPr>
            </w:pPr>
            <w:r/>
          </w:p>
          <w:p>
            <w:pPr>
              <w:pStyle w:val="TableText"/>
              <w:ind w:left="296"/>
              <w:spacing w:before="86" w:line="188" w:lineRule="auto"/>
              <w:rPr/>
            </w:pPr>
            <w:r>
              <w:rPr>
                <w:spacing w:val="8"/>
              </w:rPr>
              <w:t>沈阳化工</w:t>
            </w:r>
          </w:p>
        </w:tc>
        <w:tc>
          <w:tcPr>
            <w:shd w:val="clear" w:fill="B8CCE4"/>
            <w:tcW w:w="5942" w:type="dxa"/>
            <w:vAlign w:val="top"/>
          </w:tcPr>
          <w:p>
            <w:pPr>
              <w:pStyle w:val="TableText"/>
              <w:ind w:left="99" w:right="161" w:firstLine="14"/>
              <w:spacing w:before="48" w:line="239" w:lineRule="auto"/>
              <w:rPr/>
            </w:pPr>
            <w:r>
              <w:rPr>
                <w:spacing w:val="7"/>
              </w:rPr>
              <w:t>因公司</w:t>
            </w:r>
            <w:r>
              <w:rPr>
                <w:b/>
                <w:bCs/>
                <w:spacing w:val="7"/>
              </w:rPr>
              <w:t>涉嫌信息披露违法违规</w:t>
            </w:r>
            <w:r>
              <w:rPr>
                <w:spacing w:val="7"/>
              </w:rPr>
              <w:t>， 根据《中华</w:t>
            </w:r>
            <w:r>
              <w:rPr>
                <w:spacing w:val="6"/>
              </w:rPr>
              <w:t>人民共和国证券</w:t>
            </w:r>
            <w:r>
              <w:rPr/>
              <w:t xml:space="preserve">    </w:t>
            </w:r>
            <w:r>
              <w:rPr>
                <w:spacing w:val="7"/>
              </w:rPr>
              <w:t>法》《中华人民共和国行政处罚法》等法律法规， 中国证监会</w:t>
            </w:r>
            <w:r>
              <w:rPr>
                <w:spacing w:val="9"/>
              </w:rPr>
              <w:t xml:space="preserve"> </w:t>
            </w:r>
            <w:r>
              <w:rPr>
                <w:spacing w:val="8"/>
              </w:rPr>
              <w:t>决定对公司立案。</w:t>
            </w:r>
          </w:p>
        </w:tc>
      </w:tr>
      <w:tr>
        <w:trPr>
          <w:trHeight w:val="1083" w:hRule="atLeast"/>
        </w:trPr>
        <w:tc>
          <w:tcPr>
            <w:tcW w:w="1312" w:type="dxa"/>
            <w:vAlign w:val="top"/>
          </w:tcPr>
          <w:p>
            <w:pPr>
              <w:spacing w:line="376" w:lineRule="auto"/>
              <w:rPr>
                <w:rFonts w:ascii="Arial"/>
                <w:sz w:val="21"/>
              </w:rPr>
            </w:pPr>
            <w:r/>
          </w:p>
          <w:p>
            <w:pPr>
              <w:pStyle w:val="TableText"/>
              <w:ind w:left="293"/>
              <w:spacing w:before="86" w:line="178" w:lineRule="auto"/>
              <w:rPr/>
            </w:pPr>
            <w:r>
              <w:rPr>
                <w:spacing w:val="3"/>
              </w:rPr>
              <w:t>300052</w:t>
            </w:r>
          </w:p>
        </w:tc>
        <w:tc>
          <w:tcPr>
            <w:tcW w:w="1452" w:type="dxa"/>
            <w:vAlign w:val="top"/>
          </w:tcPr>
          <w:p>
            <w:pPr>
              <w:spacing w:line="361" w:lineRule="auto"/>
              <w:rPr>
                <w:rFonts w:ascii="Arial"/>
                <w:sz w:val="21"/>
              </w:rPr>
            </w:pPr>
            <w:r/>
          </w:p>
          <w:p>
            <w:pPr>
              <w:pStyle w:val="TableText"/>
              <w:ind w:left="416"/>
              <w:spacing w:before="86" w:line="189" w:lineRule="auto"/>
              <w:rPr/>
            </w:pPr>
            <w:r>
              <w:rPr>
                <w:spacing w:val="3"/>
              </w:rPr>
              <w:t>中青宝</w:t>
            </w:r>
          </w:p>
        </w:tc>
        <w:tc>
          <w:tcPr>
            <w:tcW w:w="5942" w:type="dxa"/>
            <w:vAlign w:val="top"/>
          </w:tcPr>
          <w:p>
            <w:pPr>
              <w:pStyle w:val="TableText"/>
              <w:ind w:left="100" w:right="161" w:hanging="1"/>
              <w:spacing w:before="52" w:line="238" w:lineRule="auto"/>
              <w:rPr/>
            </w:pPr>
            <w:r>
              <w:rPr>
                <w:spacing w:val="7"/>
              </w:rPr>
              <w:t>公司及实际控制人</w:t>
            </w:r>
            <w:r>
              <w:rPr>
                <w:b/>
                <w:bCs/>
                <w:spacing w:val="7"/>
              </w:rPr>
              <w:t>因涉嫌信息披露违法违规</w:t>
            </w:r>
            <w:r>
              <w:rPr>
                <w:spacing w:val="7"/>
              </w:rPr>
              <w:t>， 根据《中华人民</w:t>
            </w:r>
            <w:r>
              <w:rPr>
                <w:spacing w:val="10"/>
              </w:rPr>
              <w:t xml:space="preserve"> </w:t>
            </w:r>
            <w:r>
              <w:rPr>
                <w:spacing w:val="8"/>
              </w:rPr>
              <w:t>共和国证券法》《中华人民共和国行政处罚法》等法律法规</w:t>
            </w:r>
            <w:r>
              <w:rPr>
                <w:spacing w:val="-11"/>
              </w:rPr>
              <w:t xml:space="preserve"> </w:t>
            </w:r>
            <w:r>
              <w:rPr>
                <w:spacing w:val="8"/>
              </w:rPr>
              <w:t>，</w:t>
            </w:r>
            <w:r>
              <w:rPr/>
              <w:t xml:space="preserve"> </w:t>
            </w:r>
            <w:r>
              <w:rPr>
                <w:spacing w:val="9"/>
              </w:rPr>
              <w:t>中国证监会决定对公司及实际控制人进行立案。</w:t>
            </w:r>
          </w:p>
        </w:tc>
      </w:tr>
      <w:tr>
        <w:trPr>
          <w:trHeight w:val="1093" w:hRule="atLeast"/>
        </w:trPr>
        <w:tc>
          <w:tcPr>
            <w:shd w:val="clear" w:fill="B8CCE4"/>
            <w:tcW w:w="1312" w:type="dxa"/>
            <w:vAlign w:val="top"/>
          </w:tcPr>
          <w:p>
            <w:pPr>
              <w:spacing w:line="378" w:lineRule="auto"/>
              <w:rPr>
                <w:rFonts w:ascii="Arial"/>
                <w:sz w:val="21"/>
              </w:rPr>
            </w:pPr>
            <w:r/>
          </w:p>
          <w:p>
            <w:pPr>
              <w:pStyle w:val="TableText"/>
              <w:ind w:left="293"/>
              <w:spacing w:before="86" w:line="179" w:lineRule="auto"/>
              <w:rPr/>
            </w:pPr>
            <w:r>
              <w:rPr>
                <w:spacing w:val="3"/>
              </w:rPr>
              <w:t>300311</w:t>
            </w:r>
          </w:p>
        </w:tc>
        <w:tc>
          <w:tcPr>
            <w:shd w:val="clear" w:fill="B8CCE4"/>
            <w:tcW w:w="1452" w:type="dxa"/>
            <w:vAlign w:val="top"/>
          </w:tcPr>
          <w:p>
            <w:pPr>
              <w:spacing w:line="365" w:lineRule="auto"/>
              <w:rPr>
                <w:rFonts w:ascii="Arial"/>
                <w:sz w:val="21"/>
              </w:rPr>
            </w:pPr>
            <w:r/>
          </w:p>
          <w:p>
            <w:pPr>
              <w:pStyle w:val="TableText"/>
              <w:ind w:left="401"/>
              <w:spacing w:before="85" w:line="189" w:lineRule="auto"/>
              <w:rPr/>
            </w:pPr>
            <w:r>
              <w:rPr>
                <w:spacing w:val="8"/>
              </w:rPr>
              <w:t>任子行</w:t>
            </w:r>
          </w:p>
        </w:tc>
        <w:tc>
          <w:tcPr>
            <w:shd w:val="clear" w:fill="B8CCE4"/>
            <w:tcW w:w="5942" w:type="dxa"/>
            <w:vAlign w:val="top"/>
          </w:tcPr>
          <w:p>
            <w:pPr>
              <w:pStyle w:val="TableText"/>
              <w:ind w:left="99" w:right="161" w:firstLine="14"/>
              <w:spacing w:before="57" w:line="239" w:lineRule="auto"/>
              <w:rPr/>
            </w:pPr>
            <w:r>
              <w:rPr>
                <w:spacing w:val="7"/>
              </w:rPr>
              <w:t>因公司</w:t>
            </w:r>
            <w:r>
              <w:rPr>
                <w:b/>
                <w:bCs/>
                <w:spacing w:val="7"/>
              </w:rPr>
              <w:t>涉嫌信息披露违法违规</w:t>
            </w:r>
            <w:r>
              <w:rPr>
                <w:spacing w:val="7"/>
              </w:rPr>
              <w:t>， 根据《中华</w:t>
            </w:r>
            <w:r>
              <w:rPr>
                <w:spacing w:val="6"/>
              </w:rPr>
              <w:t>人民共和国证券</w:t>
            </w:r>
            <w:r>
              <w:rPr/>
              <w:t xml:space="preserve">    </w:t>
            </w:r>
            <w:r>
              <w:rPr>
                <w:spacing w:val="7"/>
              </w:rPr>
              <w:t>法》《中华人民共和国行政处罚法》等法律法规， 中国证监会</w:t>
            </w:r>
            <w:r>
              <w:rPr>
                <w:spacing w:val="9"/>
              </w:rPr>
              <w:t xml:space="preserve"> </w:t>
            </w:r>
            <w:r>
              <w:rPr>
                <w:spacing w:val="8"/>
              </w:rPr>
              <w:t>决定对公司立案。</w:t>
            </w:r>
          </w:p>
        </w:tc>
      </w:tr>
    </w:tbl>
    <w:p>
      <w:pPr>
        <w:pStyle w:val="BodyText"/>
        <w:rPr/>
      </w:pPr>
      <w:r/>
    </w:p>
    <w:p>
      <w:pPr>
        <w:sectPr>
          <w:pgSz w:w="11910" w:h="16840"/>
          <w:pgMar w:top="400" w:right="1694" w:bottom="0" w:left="757" w:header="0" w:footer="0" w:gutter="0"/>
        </w:sectPr>
        <w:rPr/>
      </w:pPr>
    </w:p>
    <w:p>
      <w:pPr>
        <w:ind w:left="1653"/>
        <w:spacing w:before="2" w:line="185" w:lineRule="auto"/>
        <w:rPr>
          <w:rFonts w:ascii="Microsoft YaHei" w:hAnsi="Microsoft YaHei" w:eastAsia="Microsoft YaHei" w:cs="Microsoft YaHei"/>
          <w:sz w:val="43"/>
          <w:szCs w:val="43"/>
        </w:rPr>
      </w:pPr>
      <w:r>
        <w:pict>
          <v:group id="_x0000_s28" style="position:absolute;margin-left:0.72pt;margin-top:0.47998pt;mso-position-vertical-relative:page;mso-position-horizontal-relative:page;width:67.85pt;height:56.9pt;z-index:-251638784;" o:allowincell="f" filled="false" stroked="false" coordsize="1356,1138" coordorigin="0,0">
            <v:shape id="_x0000_s30" style="position:absolute;left:0;top:0;width:1356;height:1138;" fillcolor="#A61C1F" filled="true" stroked="false" coordsize="1356,1138" coordorigin="0,0" path="m,l1356,0l1356,1137l0,1137l0,0xe"/>
            <v:shape id="_x0000_s32"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r>
        <w:rPr>
          <w:rFonts w:ascii="Microsoft YaHei" w:hAnsi="Microsoft YaHei" w:eastAsia="Microsoft YaHei" w:cs="Microsoft YaHei"/>
          <w:sz w:val="43"/>
          <w:szCs w:val="43"/>
          <w:spacing w:val="7"/>
        </w:rPr>
        <w:t>监管动态</w:t>
      </w:r>
    </w:p>
    <w:p>
      <w:pPr>
        <w:ind w:firstLine="1324"/>
        <w:spacing w:before="206" w:line="51" w:lineRule="exact"/>
        <w:rPr/>
      </w:pPr>
      <w:r>
        <w:rPr>
          <w:position w:val="-1"/>
        </w:rPr>
        <w:drawing>
          <wp:inline distT="0" distB="0" distL="0" distR="0">
            <wp:extent cx="6675119" cy="32245"/>
            <wp:effectExtent l="0" t="0" r="0" b="0"/>
            <wp:docPr id="18" name="IM 18"/>
            <wp:cNvGraphicFramePr/>
            <a:graphic>
              <a:graphicData uri="http://schemas.openxmlformats.org/drawingml/2006/picture">
                <pic:pic>
                  <pic:nvPicPr>
                    <pic:cNvPr id="18" name="IM 18"/>
                    <pic:cNvPicPr/>
                  </pic:nvPicPr>
                  <pic:blipFill>
                    <a:blip r:embed="rId13"/>
                    <a:stretch>
                      <a:fillRect/>
                    </a:stretch>
                  </pic:blipFill>
                  <pic:spPr>
                    <a:xfrm rot="0">
                      <a:off x="0" y="0"/>
                      <a:ext cx="6675119" cy="32245"/>
                    </a:xfrm>
                    <a:prstGeom prst="rect">
                      <a:avLst/>
                    </a:prstGeom>
                  </pic:spPr>
                </pic:pic>
              </a:graphicData>
            </a:graphic>
          </wp:inline>
        </w:drawing>
      </w:r>
    </w:p>
    <w:p>
      <w:pPr>
        <w:pStyle w:val="BodyText"/>
        <w:spacing w:line="278" w:lineRule="auto"/>
        <w:rPr/>
      </w:pPr>
      <w:r/>
    </w:p>
    <w:p>
      <w:pPr>
        <w:pStyle w:val="BodyText"/>
        <w:spacing w:line="279" w:lineRule="auto"/>
        <w:rPr/>
      </w:pPr>
      <w:r/>
    </w:p>
    <w:p>
      <w:pPr>
        <w:ind w:left="339"/>
        <w:spacing w:before="120" w:line="183" w:lineRule="auto"/>
        <w:rPr>
          <w:rFonts w:ascii="Microsoft YaHei" w:hAnsi="Microsoft YaHei" w:eastAsia="Microsoft YaHei" w:cs="Microsoft YaHei"/>
          <w:sz w:val="28"/>
          <w:szCs w:val="28"/>
        </w:rPr>
      </w:pPr>
      <w:r>
        <w:drawing>
          <wp:anchor distT="0" distB="0" distL="0" distR="0" simplePos="0" relativeHeight="251678720" behindDoc="1" locked="0" layoutInCell="1" allowOverlap="1">
            <wp:simplePos x="0" y="0"/>
            <wp:positionH relativeFrom="column">
              <wp:posOffset>4572</wp:posOffset>
            </wp:positionH>
            <wp:positionV relativeFrom="paragraph">
              <wp:posOffset>-93906</wp:posOffset>
            </wp:positionV>
            <wp:extent cx="1711451" cy="586740"/>
            <wp:effectExtent l="0" t="0" r="0" b="0"/>
            <wp:wrapNone/>
            <wp:docPr id="20" name="IM 20"/>
            <wp:cNvGraphicFramePr/>
            <a:graphic>
              <a:graphicData uri="http://schemas.openxmlformats.org/drawingml/2006/picture">
                <pic:pic>
                  <pic:nvPicPr>
                    <pic:cNvPr id="20" name="IM 20"/>
                    <pic:cNvPicPr/>
                  </pic:nvPicPr>
                  <pic:blipFill>
                    <a:blip r:embed="rId14"/>
                    <a:stretch>
                      <a:fillRect/>
                    </a:stretch>
                  </pic:blipFill>
                  <pic:spPr>
                    <a:xfrm rot="0">
                      <a:off x="0" y="0"/>
                      <a:ext cx="1711451" cy="586740"/>
                    </a:xfrm>
                    <a:prstGeom prst="rect">
                      <a:avLst/>
                    </a:prstGeom>
                  </pic:spPr>
                </pic:pic>
              </a:graphicData>
            </a:graphic>
          </wp:anchor>
        </w:drawing>
      </w:r>
      <w:r>
        <w:rPr>
          <w:rFonts w:ascii="Microsoft YaHei" w:hAnsi="Microsoft YaHei" w:eastAsia="Microsoft YaHei" w:cs="Microsoft YaHei"/>
          <w:sz w:val="28"/>
          <w:szCs w:val="28"/>
          <w:b/>
          <w:bCs/>
          <w:color w:val="FFFFFF"/>
          <w:spacing w:val="-1"/>
        </w:rPr>
        <w:t>上交所监管动态</w:t>
      </w:r>
    </w:p>
    <w:p>
      <w:pPr>
        <w:pStyle w:val="BodyText"/>
        <w:spacing w:line="252" w:lineRule="auto"/>
        <w:rPr/>
      </w:pPr>
      <w:r/>
    </w:p>
    <w:p>
      <w:pPr>
        <w:pStyle w:val="BodyText"/>
        <w:spacing w:line="252" w:lineRule="auto"/>
        <w:rPr/>
      </w:pPr>
      <w:r/>
    </w:p>
    <w:p>
      <w:pPr>
        <w:ind w:left="886"/>
        <w:spacing w:before="104"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1、上市公司监管动态</w:t>
      </w:r>
    </w:p>
    <w:p>
      <w:pPr>
        <w:ind w:left="426" w:right="580" w:firstLine="491"/>
        <w:spacing w:before="171" w:line="35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2024年8月5日-8月11</w:t>
      </w:r>
      <w:r>
        <w:rPr>
          <w:rFonts w:ascii="Microsoft YaHei" w:hAnsi="Microsoft YaHei" w:eastAsia="Microsoft YaHei" w:cs="Microsoft YaHei"/>
          <w:sz w:val="24"/>
          <w:szCs w:val="24"/>
          <w:spacing w:val="-36"/>
        </w:rPr>
        <w:t xml:space="preserve"> </w:t>
      </w:r>
      <w:r>
        <w:rPr>
          <w:rFonts w:ascii="Microsoft YaHei" w:hAnsi="Microsoft YaHei" w:eastAsia="Microsoft YaHei" w:cs="Microsoft YaHei"/>
          <w:sz w:val="24"/>
          <w:szCs w:val="24"/>
          <w:spacing w:val="-3"/>
        </w:rPr>
        <w:t>日， 上交所公司监管部门作出6份监管警示函， 对1宗行为予以</w:t>
      </w:r>
      <w:r>
        <w:rPr>
          <w:rFonts w:ascii="Microsoft YaHei" w:hAnsi="Microsoft YaHei" w:eastAsia="Microsoft YaHei" w:cs="Microsoft YaHei"/>
          <w:sz w:val="24"/>
          <w:szCs w:val="24"/>
          <w:spacing w:val="-4"/>
        </w:rPr>
        <w:t>纪律处分。</w:t>
      </w:r>
      <w:r>
        <w:rPr>
          <w:rFonts w:ascii="Microsoft YaHei" w:hAnsi="Microsoft YaHei" w:eastAsia="Microsoft YaHei" w:cs="Microsoft YaHei"/>
          <w:sz w:val="24"/>
          <w:szCs w:val="24"/>
          <w:spacing w:val="-48"/>
        </w:rPr>
        <w:t xml:space="preserve"> </w:t>
      </w:r>
      <w:r>
        <w:rPr>
          <w:rFonts w:ascii="Microsoft YaHei" w:hAnsi="Microsoft YaHei" w:eastAsia="Microsoft YaHei" w:cs="Microsoft YaHei"/>
          <w:sz w:val="24"/>
          <w:szCs w:val="24"/>
          <w:spacing w:val="-4"/>
        </w:rPr>
        <w:t>同</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时， 加大信息披露和股价异常的联动监管， 针对公司披露敏感信息或股价发生明显异常的， 提请启动内</w:t>
      </w:r>
      <w:r>
        <w:rPr>
          <w:rFonts w:ascii="Microsoft YaHei" w:hAnsi="Microsoft YaHei" w:eastAsia="Microsoft YaHei" w:cs="Microsoft YaHei"/>
          <w:sz w:val="24"/>
          <w:szCs w:val="24"/>
          <w:spacing w:val="4"/>
        </w:rPr>
        <w:t xml:space="preserve"> </w:t>
      </w:r>
      <w:r>
        <w:rPr>
          <w:rFonts w:ascii="Microsoft YaHei" w:hAnsi="Microsoft YaHei" w:eastAsia="Microsoft YaHei" w:cs="Microsoft YaHei"/>
          <w:sz w:val="24"/>
          <w:szCs w:val="24"/>
          <w:spacing w:val="-1"/>
        </w:rPr>
        <w:t>幕交易、异常交易核查3单。</w:t>
      </w:r>
    </w:p>
    <w:p>
      <w:pPr>
        <w:pStyle w:val="BodyText"/>
        <w:spacing w:line="295" w:lineRule="auto"/>
        <w:rPr/>
      </w:pPr>
      <w:r/>
    </w:p>
    <w:p>
      <w:pPr>
        <w:ind w:firstLine="1292"/>
        <w:spacing w:line="5222" w:lineRule="exact"/>
        <w:rPr/>
      </w:pPr>
      <w:r>
        <w:rPr>
          <w:position w:val="-104"/>
        </w:rPr>
        <w:drawing>
          <wp:inline distT="0" distB="0" distL="0" distR="0">
            <wp:extent cx="5765800" cy="3315970"/>
            <wp:effectExtent l="0" t="0" r="0" b="0"/>
            <wp:docPr id="22" name="IM 22"/>
            <wp:cNvGraphicFramePr/>
            <a:graphic>
              <a:graphicData uri="http://schemas.openxmlformats.org/drawingml/2006/picture">
                <pic:pic>
                  <pic:nvPicPr>
                    <pic:cNvPr id="22" name="IM 22"/>
                    <pic:cNvPicPr/>
                  </pic:nvPicPr>
                  <pic:blipFill>
                    <a:blip r:embed="rId15"/>
                    <a:stretch>
                      <a:fillRect/>
                    </a:stretch>
                  </pic:blipFill>
                  <pic:spPr>
                    <a:xfrm rot="0">
                      <a:off x="0" y="0"/>
                      <a:ext cx="5765800" cy="3315970"/>
                    </a:xfrm>
                    <a:prstGeom prst="rect">
                      <a:avLst/>
                    </a:prstGeom>
                  </pic:spPr>
                </pic:pic>
              </a:graphicData>
            </a:graphic>
          </wp:inline>
        </w:drawing>
      </w:r>
    </w:p>
    <w:p>
      <w:pPr>
        <w:pStyle w:val="BodyText"/>
        <w:spacing w:line="309" w:lineRule="auto"/>
        <w:rPr/>
      </w:pPr>
      <w:r/>
    </w:p>
    <w:p>
      <w:pPr>
        <w:pStyle w:val="BodyText"/>
        <w:spacing w:line="309" w:lineRule="auto"/>
        <w:rPr/>
      </w:pPr>
      <w:r/>
    </w:p>
    <w:p>
      <w:pPr>
        <w:ind w:left="742"/>
        <w:spacing w:before="104"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（1） 监管措施统计</w:t>
      </w:r>
    </w:p>
    <w:p>
      <w:pPr>
        <w:spacing w:line="211" w:lineRule="exact"/>
        <w:rPr/>
      </w:pPr>
      <w:r/>
    </w:p>
    <w:tbl>
      <w:tblPr>
        <w:tblStyle w:val="TableNormal"/>
        <w:tblW w:w="8706" w:type="dxa"/>
        <w:tblInd w:w="1651"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62"/>
        <w:gridCol w:w="1201"/>
        <w:gridCol w:w="1306"/>
        <w:gridCol w:w="4937"/>
      </w:tblGrid>
      <w:tr>
        <w:trPr>
          <w:trHeight w:val="378" w:hRule="atLeast"/>
        </w:trPr>
        <w:tc>
          <w:tcPr>
            <w:shd w:val="clear" w:fill="C0504D"/>
            <w:tcW w:w="1262" w:type="dxa"/>
            <w:vAlign w:val="top"/>
            <w:tcBorders>
              <w:bottom w:val="single" w:color="FFFFFF" w:sz="10" w:space="0"/>
            </w:tcBorders>
          </w:tcPr>
          <w:p>
            <w:pPr>
              <w:pStyle w:val="TableText"/>
              <w:ind w:left="205"/>
              <w:spacing w:before="90" w:line="189" w:lineRule="auto"/>
              <w:rPr/>
            </w:pPr>
            <w:r>
              <w:rPr>
                <w:b/>
                <w:bCs/>
                <w:color w:val="FFFFFF"/>
                <w:spacing w:val="8"/>
              </w:rPr>
              <w:t>公司代码</w:t>
            </w:r>
          </w:p>
        </w:tc>
        <w:tc>
          <w:tcPr>
            <w:shd w:val="clear" w:fill="C0504D"/>
            <w:tcW w:w="1201" w:type="dxa"/>
            <w:vAlign w:val="top"/>
            <w:tcBorders>
              <w:bottom w:val="single" w:color="FFFFFF" w:sz="10" w:space="0"/>
            </w:tcBorders>
          </w:tcPr>
          <w:p>
            <w:pPr>
              <w:pStyle w:val="TableText"/>
              <w:ind w:left="171"/>
              <w:spacing w:before="90" w:line="189" w:lineRule="auto"/>
              <w:rPr/>
            </w:pPr>
            <w:r>
              <w:rPr>
                <w:b/>
                <w:bCs/>
                <w:color w:val="FFFFFF"/>
                <w:spacing w:val="8"/>
              </w:rPr>
              <w:t>公司简称</w:t>
            </w:r>
          </w:p>
        </w:tc>
        <w:tc>
          <w:tcPr>
            <w:shd w:val="clear" w:fill="C0504D"/>
            <w:tcW w:w="1306" w:type="dxa"/>
            <w:vAlign w:val="top"/>
            <w:tcBorders>
              <w:bottom w:val="single" w:color="FFFFFF" w:sz="10" w:space="0"/>
            </w:tcBorders>
          </w:tcPr>
          <w:p>
            <w:pPr>
              <w:pStyle w:val="TableText"/>
              <w:ind w:left="238"/>
              <w:spacing w:before="92" w:line="188" w:lineRule="auto"/>
              <w:rPr/>
            </w:pPr>
            <w:r>
              <w:rPr>
                <w:b/>
                <w:bCs/>
                <w:color w:val="FFFFFF"/>
                <w:spacing w:val="5"/>
              </w:rPr>
              <w:t>函件类别</w:t>
            </w:r>
          </w:p>
        </w:tc>
        <w:tc>
          <w:tcPr>
            <w:shd w:val="clear" w:fill="C0504D"/>
            <w:tcW w:w="4937" w:type="dxa"/>
            <w:vAlign w:val="top"/>
            <w:tcBorders>
              <w:bottom w:val="single" w:color="FFFFFF" w:sz="10" w:space="0"/>
            </w:tcBorders>
          </w:tcPr>
          <w:p>
            <w:pPr>
              <w:pStyle w:val="TableText"/>
              <w:ind w:left="2041"/>
              <w:spacing w:before="90" w:line="189" w:lineRule="auto"/>
              <w:rPr/>
            </w:pPr>
            <w:r>
              <w:rPr>
                <w:b/>
                <w:bCs/>
                <w:color w:val="FFFFFF"/>
                <w:spacing w:val="8"/>
              </w:rPr>
              <w:t>违规类型</w:t>
            </w:r>
          </w:p>
        </w:tc>
      </w:tr>
      <w:tr>
        <w:trPr>
          <w:trHeight w:val="719" w:hRule="atLeast"/>
        </w:trPr>
        <w:tc>
          <w:tcPr>
            <w:tcW w:w="1262" w:type="dxa"/>
            <w:vAlign w:val="top"/>
            <w:tcBorders>
              <w:top w:val="single" w:color="FFFFFF" w:sz="10" w:space="0"/>
            </w:tcBorders>
          </w:tcPr>
          <w:p>
            <w:pPr>
              <w:pStyle w:val="TableText"/>
              <w:ind w:left="263"/>
              <w:spacing w:before="93" w:line="178" w:lineRule="auto"/>
              <w:rPr/>
            </w:pPr>
            <w:r>
              <w:rPr>
                <w:spacing w:val="3"/>
              </w:rPr>
              <w:t>603007</w:t>
            </w:r>
          </w:p>
        </w:tc>
        <w:tc>
          <w:tcPr>
            <w:tcW w:w="1201" w:type="dxa"/>
            <w:vAlign w:val="top"/>
            <w:tcBorders>
              <w:top w:val="single" w:color="FFFFFF" w:sz="10" w:space="0"/>
            </w:tcBorders>
          </w:tcPr>
          <w:p>
            <w:pPr>
              <w:pStyle w:val="TableText"/>
              <w:ind w:left="269"/>
              <w:spacing w:before="78" w:line="189" w:lineRule="auto"/>
              <w:rPr/>
            </w:pPr>
            <w:r>
              <w:rPr/>
              <w:t>ST</w:t>
            </w:r>
            <w:r>
              <w:rPr>
                <w:spacing w:val="8"/>
              </w:rPr>
              <w:t>花王</w:t>
            </w:r>
          </w:p>
        </w:tc>
        <w:tc>
          <w:tcPr>
            <w:tcW w:w="1306" w:type="dxa"/>
            <w:vAlign w:val="top"/>
            <w:tcBorders>
              <w:top w:val="single" w:color="FFFFFF" w:sz="10" w:space="0"/>
            </w:tcBorders>
          </w:tcPr>
          <w:p>
            <w:pPr>
              <w:pStyle w:val="TableText"/>
              <w:ind w:left="226"/>
              <w:spacing w:before="80" w:line="188" w:lineRule="auto"/>
              <w:rPr/>
            </w:pPr>
            <w:r>
              <w:rPr>
                <w:spacing w:val="8"/>
              </w:rPr>
              <w:t>通报批评</w:t>
            </w:r>
          </w:p>
        </w:tc>
        <w:tc>
          <w:tcPr>
            <w:tcW w:w="4937" w:type="dxa"/>
            <w:vAlign w:val="top"/>
            <w:tcBorders>
              <w:top w:val="single" w:color="FFFFFF" w:sz="10" w:space="0"/>
            </w:tcBorders>
          </w:tcPr>
          <w:p>
            <w:pPr>
              <w:pStyle w:val="TableText"/>
              <w:ind w:left="4" w:right="203" w:hanging="2"/>
              <w:spacing w:before="77" w:line="221" w:lineRule="auto"/>
              <w:rPr/>
            </w:pPr>
            <w:r>
              <w:rPr>
                <w:spacing w:val="6"/>
              </w:rPr>
              <w:t>募集资金</w:t>
            </w:r>
            <w:r>
              <w:rPr>
                <w:b/>
                <w:bCs/>
                <w:spacing w:val="6"/>
              </w:rPr>
              <w:t>临时补充流动资金</w:t>
            </w:r>
            <w:r>
              <w:rPr>
                <w:spacing w:val="6"/>
              </w:rPr>
              <w:t>未及时归还； 公司</w:t>
            </w:r>
            <w:r>
              <w:rPr>
                <w:b/>
                <w:bCs/>
                <w:spacing w:val="6"/>
              </w:rPr>
              <w:t>2023</w:t>
            </w:r>
            <w:r>
              <w:rPr>
                <w:b/>
                <w:bCs/>
                <w:spacing w:val="12"/>
              </w:rPr>
              <w:t xml:space="preserve"> </w:t>
            </w:r>
            <w:r>
              <w:rPr>
                <w:b/>
                <w:bCs/>
                <w:spacing w:val="8"/>
              </w:rPr>
              <w:t>年年报</w:t>
            </w:r>
            <w:r>
              <w:rPr>
                <w:spacing w:val="8"/>
              </w:rPr>
              <w:t>存在多处错误。</w:t>
            </w:r>
          </w:p>
        </w:tc>
      </w:tr>
      <w:tr>
        <w:trPr>
          <w:trHeight w:val="722" w:hRule="atLeast"/>
        </w:trPr>
        <w:tc>
          <w:tcPr>
            <w:shd w:val="clear" w:fill="F2DCDC"/>
            <w:tcW w:w="1262" w:type="dxa"/>
            <w:vAlign w:val="top"/>
          </w:tcPr>
          <w:p>
            <w:pPr>
              <w:pStyle w:val="TableText"/>
              <w:ind w:left="263"/>
              <w:spacing w:before="97" w:line="179" w:lineRule="auto"/>
              <w:rPr/>
            </w:pPr>
            <w:r>
              <w:rPr>
                <w:spacing w:val="3"/>
              </w:rPr>
              <w:t>600167</w:t>
            </w:r>
          </w:p>
        </w:tc>
        <w:tc>
          <w:tcPr>
            <w:shd w:val="clear" w:fill="F2DCDC"/>
            <w:tcW w:w="1201" w:type="dxa"/>
            <w:vAlign w:val="top"/>
          </w:tcPr>
          <w:p>
            <w:pPr>
              <w:pStyle w:val="TableText"/>
              <w:ind w:left="170"/>
              <w:spacing w:before="82" w:line="190" w:lineRule="auto"/>
              <w:rPr/>
            </w:pPr>
            <w:r>
              <w:rPr>
                <w:spacing w:val="8"/>
              </w:rPr>
              <w:t>联美控股</w:t>
            </w:r>
          </w:p>
        </w:tc>
        <w:tc>
          <w:tcPr>
            <w:shd w:val="clear" w:fill="F2DCDC"/>
            <w:tcW w:w="1306" w:type="dxa"/>
            <w:vAlign w:val="top"/>
          </w:tcPr>
          <w:p>
            <w:pPr>
              <w:pStyle w:val="TableText"/>
              <w:ind w:left="228"/>
              <w:spacing w:before="84" w:line="189" w:lineRule="auto"/>
              <w:rPr/>
            </w:pPr>
            <w:r>
              <w:rPr>
                <w:spacing w:val="8"/>
              </w:rPr>
              <w:t>监管警示</w:t>
            </w:r>
          </w:p>
        </w:tc>
        <w:tc>
          <w:tcPr>
            <w:shd w:val="clear" w:fill="F2DCDC"/>
            <w:tcW w:w="4937" w:type="dxa"/>
            <w:vAlign w:val="top"/>
          </w:tcPr>
          <w:p>
            <w:pPr>
              <w:pStyle w:val="TableText"/>
              <w:ind w:left="3" w:right="92"/>
              <w:spacing w:before="82" w:line="220" w:lineRule="auto"/>
              <w:rPr/>
            </w:pPr>
            <w:r>
              <w:rPr>
                <w:spacing w:val="9"/>
              </w:rPr>
              <w:t>公司未及时就</w:t>
            </w:r>
            <w:r>
              <w:rPr>
                <w:b/>
                <w:bCs/>
                <w:spacing w:val="9"/>
              </w:rPr>
              <w:t>募投项目延期事项</w:t>
            </w:r>
            <w:r>
              <w:rPr>
                <w:spacing w:val="9"/>
              </w:rPr>
              <w:t>履行审议程序及披露</w:t>
            </w:r>
            <w:r>
              <w:rPr>
                <w:spacing w:val="18"/>
              </w:rPr>
              <w:t xml:space="preserve"> </w:t>
            </w:r>
            <w:r>
              <w:rPr>
                <w:spacing w:val="4"/>
              </w:rPr>
              <w:t>义务。</w:t>
            </w:r>
          </w:p>
        </w:tc>
      </w:tr>
      <w:tr>
        <w:trPr>
          <w:trHeight w:val="1082" w:hRule="atLeast"/>
        </w:trPr>
        <w:tc>
          <w:tcPr>
            <w:tcW w:w="1262" w:type="dxa"/>
            <w:vAlign w:val="top"/>
          </w:tcPr>
          <w:p>
            <w:pPr>
              <w:pStyle w:val="TableText"/>
              <w:ind w:left="263"/>
              <w:spacing w:before="103" w:line="178" w:lineRule="auto"/>
              <w:rPr/>
            </w:pPr>
            <w:r>
              <w:rPr>
                <w:spacing w:val="3"/>
              </w:rPr>
              <w:t>600326</w:t>
            </w:r>
          </w:p>
        </w:tc>
        <w:tc>
          <w:tcPr>
            <w:tcW w:w="1201" w:type="dxa"/>
            <w:vAlign w:val="top"/>
          </w:tcPr>
          <w:p>
            <w:pPr>
              <w:pStyle w:val="TableText"/>
              <w:ind w:left="173"/>
              <w:spacing w:before="88" w:line="189" w:lineRule="auto"/>
              <w:rPr/>
            </w:pPr>
            <w:r>
              <w:rPr>
                <w:spacing w:val="8"/>
              </w:rPr>
              <w:t>西藏天路</w:t>
            </w:r>
          </w:p>
        </w:tc>
        <w:tc>
          <w:tcPr>
            <w:tcW w:w="1306" w:type="dxa"/>
            <w:vAlign w:val="top"/>
          </w:tcPr>
          <w:p>
            <w:pPr>
              <w:pStyle w:val="TableText"/>
              <w:ind w:left="228"/>
              <w:spacing w:before="88" w:line="189" w:lineRule="auto"/>
              <w:rPr/>
            </w:pPr>
            <w:r>
              <w:rPr>
                <w:spacing w:val="8"/>
              </w:rPr>
              <w:t>监管警示</w:t>
            </w:r>
          </w:p>
        </w:tc>
        <w:tc>
          <w:tcPr>
            <w:tcW w:w="4937" w:type="dxa"/>
            <w:vAlign w:val="top"/>
          </w:tcPr>
          <w:p>
            <w:pPr>
              <w:pStyle w:val="TableText"/>
              <w:ind w:left="3" w:right="138"/>
              <w:spacing w:before="89" w:line="229" w:lineRule="auto"/>
              <w:jc w:val="both"/>
              <w:rPr/>
            </w:pPr>
            <w:r>
              <w:rPr>
                <w:spacing w:val="7"/>
              </w:rPr>
              <w:t>公司对相关资产减值测试不准确、减值计提不规范，</w:t>
            </w:r>
            <w:r>
              <w:rPr>
                <w:spacing w:val="18"/>
              </w:rPr>
              <w:t xml:space="preserve"> </w:t>
            </w:r>
            <w:r>
              <w:rPr>
                <w:spacing w:val="8"/>
              </w:rPr>
              <w:t>导致2019年至2022年多期定期报告中相关</w:t>
            </w:r>
            <w:r>
              <w:rPr>
                <w:b/>
                <w:bCs/>
                <w:spacing w:val="8"/>
              </w:rPr>
              <w:t>财务数据</w:t>
            </w:r>
            <w:r>
              <w:rPr>
                <w:b/>
                <w:bCs/>
                <w:spacing w:val="14"/>
              </w:rPr>
              <w:t xml:space="preserve"> </w:t>
            </w:r>
            <w:r>
              <w:rPr>
                <w:b/>
                <w:bCs/>
                <w:spacing w:val="7"/>
              </w:rPr>
              <w:t>披露不准确。</w:t>
            </w:r>
          </w:p>
        </w:tc>
      </w:tr>
      <w:tr>
        <w:trPr>
          <w:trHeight w:val="723" w:hRule="atLeast"/>
        </w:trPr>
        <w:tc>
          <w:tcPr>
            <w:shd w:val="clear" w:fill="F2DCDC"/>
            <w:tcW w:w="1262" w:type="dxa"/>
            <w:vAlign w:val="top"/>
          </w:tcPr>
          <w:p>
            <w:pPr>
              <w:pStyle w:val="TableText"/>
              <w:ind w:left="263"/>
              <w:spacing w:before="105" w:line="178" w:lineRule="auto"/>
              <w:rPr/>
            </w:pPr>
            <w:r>
              <w:rPr>
                <w:spacing w:val="3"/>
              </w:rPr>
              <w:t>600543</w:t>
            </w:r>
          </w:p>
        </w:tc>
        <w:tc>
          <w:tcPr>
            <w:shd w:val="clear" w:fill="F2DCDC"/>
            <w:tcW w:w="1201" w:type="dxa"/>
            <w:vAlign w:val="top"/>
          </w:tcPr>
          <w:p>
            <w:pPr>
              <w:pStyle w:val="TableText"/>
              <w:ind w:left="171"/>
              <w:spacing w:before="89" w:line="190" w:lineRule="auto"/>
              <w:rPr/>
            </w:pPr>
            <w:r>
              <w:rPr>
                <w:spacing w:val="8"/>
              </w:rPr>
              <w:t>莫高股份</w:t>
            </w:r>
          </w:p>
        </w:tc>
        <w:tc>
          <w:tcPr>
            <w:shd w:val="clear" w:fill="F2DCDC"/>
            <w:tcW w:w="1306" w:type="dxa"/>
            <w:vAlign w:val="top"/>
          </w:tcPr>
          <w:p>
            <w:pPr>
              <w:pStyle w:val="TableText"/>
              <w:ind w:left="228"/>
              <w:spacing w:before="91" w:line="189" w:lineRule="auto"/>
              <w:rPr/>
            </w:pPr>
            <w:r>
              <w:rPr>
                <w:spacing w:val="8"/>
              </w:rPr>
              <w:t>监管警示</w:t>
            </w:r>
          </w:p>
        </w:tc>
        <w:tc>
          <w:tcPr>
            <w:shd w:val="clear" w:fill="F2DCDC"/>
            <w:tcW w:w="4937" w:type="dxa"/>
            <w:vAlign w:val="top"/>
          </w:tcPr>
          <w:p>
            <w:pPr>
              <w:pStyle w:val="TableText"/>
              <w:ind w:left="3" w:right="178"/>
              <w:spacing w:before="89" w:line="218" w:lineRule="auto"/>
              <w:rPr/>
            </w:pPr>
            <w:r>
              <w:rPr>
                <w:spacing w:val="9"/>
              </w:rPr>
              <w:t>公司时任监事的配偶在6个月内买入又卖出其所持股</w:t>
            </w:r>
            <w:r>
              <w:rPr>
                <w:spacing w:val="14"/>
              </w:rPr>
              <w:t xml:space="preserve"> </w:t>
            </w:r>
            <w:r>
              <w:rPr>
                <w:spacing w:val="8"/>
              </w:rPr>
              <w:t>份的行为构成</w:t>
            </w:r>
            <w:r>
              <w:rPr>
                <w:b/>
                <w:bCs/>
                <w:spacing w:val="8"/>
              </w:rPr>
              <w:t>短线交易。</w:t>
            </w:r>
          </w:p>
        </w:tc>
      </w:tr>
      <w:tr>
        <w:trPr>
          <w:trHeight w:val="364" w:hRule="atLeast"/>
        </w:trPr>
        <w:tc>
          <w:tcPr>
            <w:tcW w:w="1262" w:type="dxa"/>
            <w:vAlign w:val="top"/>
          </w:tcPr>
          <w:p>
            <w:pPr>
              <w:pStyle w:val="TableText"/>
              <w:ind w:left="263"/>
              <w:spacing w:before="108" w:line="172" w:lineRule="auto"/>
              <w:rPr/>
            </w:pPr>
            <w:r>
              <w:rPr>
                <w:spacing w:val="3"/>
              </w:rPr>
              <w:t>603559</w:t>
            </w:r>
          </w:p>
        </w:tc>
        <w:tc>
          <w:tcPr>
            <w:tcW w:w="1201" w:type="dxa"/>
            <w:vAlign w:val="top"/>
          </w:tcPr>
          <w:p>
            <w:pPr>
              <w:pStyle w:val="TableText"/>
              <w:ind w:left="219"/>
              <w:spacing w:before="93" w:line="182" w:lineRule="auto"/>
              <w:rPr/>
            </w:pPr>
            <w:r>
              <w:rPr>
                <w:spacing w:val="8"/>
              </w:rPr>
              <w:t>*</w:t>
            </w:r>
            <w:r>
              <w:rPr/>
              <w:t>ST</w:t>
            </w:r>
            <w:r>
              <w:rPr>
                <w:spacing w:val="8"/>
              </w:rPr>
              <w:t>通脉</w:t>
            </w:r>
          </w:p>
        </w:tc>
        <w:tc>
          <w:tcPr>
            <w:tcW w:w="1306" w:type="dxa"/>
            <w:vAlign w:val="top"/>
          </w:tcPr>
          <w:p>
            <w:pPr>
              <w:pStyle w:val="TableText"/>
              <w:ind w:left="228"/>
              <w:spacing w:before="93" w:line="182" w:lineRule="auto"/>
              <w:rPr/>
            </w:pPr>
            <w:r>
              <w:rPr>
                <w:spacing w:val="8"/>
              </w:rPr>
              <w:t>监管警示</w:t>
            </w:r>
          </w:p>
        </w:tc>
        <w:tc>
          <w:tcPr>
            <w:tcW w:w="4937" w:type="dxa"/>
            <w:vAlign w:val="top"/>
          </w:tcPr>
          <w:p>
            <w:pPr>
              <w:pStyle w:val="TableText"/>
              <w:ind w:left="3"/>
              <w:spacing w:before="93" w:line="182" w:lineRule="auto"/>
              <w:rPr/>
            </w:pPr>
            <w:r>
              <w:rPr>
                <w:spacing w:val="9"/>
              </w:rPr>
              <w:t>公司</w:t>
            </w:r>
            <w:r>
              <w:rPr>
                <w:b/>
                <w:bCs/>
                <w:spacing w:val="9"/>
              </w:rPr>
              <w:t>多期定期报告</w:t>
            </w:r>
            <w:r>
              <w:rPr>
                <w:spacing w:val="9"/>
              </w:rPr>
              <w:t>财务信息披露不准确。</w:t>
            </w:r>
          </w:p>
        </w:tc>
      </w:tr>
      <w:tr>
        <w:trPr>
          <w:trHeight w:val="372" w:hRule="atLeast"/>
        </w:trPr>
        <w:tc>
          <w:tcPr>
            <w:shd w:val="clear" w:fill="F2DCDC"/>
            <w:tcW w:w="1262" w:type="dxa"/>
            <w:vAlign w:val="top"/>
          </w:tcPr>
          <w:p>
            <w:pPr>
              <w:pStyle w:val="TableText"/>
              <w:ind w:left="263"/>
              <w:spacing w:before="107" w:line="178" w:lineRule="auto"/>
              <w:rPr/>
            </w:pPr>
            <w:r>
              <w:rPr>
                <w:spacing w:val="3"/>
              </w:rPr>
              <w:t>688136</w:t>
            </w:r>
          </w:p>
        </w:tc>
        <w:tc>
          <w:tcPr>
            <w:shd w:val="clear" w:fill="F2DCDC"/>
            <w:tcW w:w="1201" w:type="dxa"/>
            <w:vAlign w:val="top"/>
          </w:tcPr>
          <w:p>
            <w:pPr>
              <w:pStyle w:val="TableText"/>
              <w:ind w:left="170"/>
              <w:spacing w:before="96" w:line="186" w:lineRule="auto"/>
              <w:rPr/>
            </w:pPr>
            <w:r>
              <w:rPr>
                <w:spacing w:val="8"/>
              </w:rPr>
              <w:t>科兴制药</w:t>
            </w:r>
          </w:p>
        </w:tc>
        <w:tc>
          <w:tcPr>
            <w:shd w:val="clear" w:fill="F2DCDC"/>
            <w:tcW w:w="1306" w:type="dxa"/>
            <w:vAlign w:val="top"/>
          </w:tcPr>
          <w:p>
            <w:pPr>
              <w:pStyle w:val="TableText"/>
              <w:ind w:left="228"/>
              <w:spacing w:before="94" w:line="187" w:lineRule="auto"/>
              <w:rPr/>
            </w:pPr>
            <w:r>
              <w:rPr>
                <w:spacing w:val="8"/>
              </w:rPr>
              <w:t>监管警示</w:t>
            </w:r>
          </w:p>
        </w:tc>
        <w:tc>
          <w:tcPr>
            <w:shd w:val="clear" w:fill="F2DCDC"/>
            <w:tcW w:w="4937" w:type="dxa"/>
            <w:vAlign w:val="top"/>
          </w:tcPr>
          <w:p>
            <w:pPr>
              <w:pStyle w:val="TableText"/>
              <w:ind w:left="12"/>
              <w:spacing w:before="93" w:line="188" w:lineRule="auto"/>
              <w:rPr/>
            </w:pPr>
            <w:r>
              <w:rPr>
                <w:spacing w:val="6"/>
              </w:rPr>
              <w:t>2023年年度</w:t>
            </w:r>
            <w:r>
              <w:rPr>
                <w:b/>
                <w:bCs/>
                <w:spacing w:val="6"/>
              </w:rPr>
              <w:t>业绩预告</w:t>
            </w:r>
            <w:r>
              <w:rPr>
                <w:spacing w:val="6"/>
              </w:rPr>
              <w:t>信息披露不准确； 未保持</w:t>
            </w:r>
            <w:r>
              <w:rPr>
                <w:b/>
                <w:bCs/>
                <w:spacing w:val="6"/>
              </w:rPr>
              <w:t>自愿信</w:t>
            </w:r>
          </w:p>
        </w:tc>
      </w:tr>
    </w:tbl>
    <w:p>
      <w:pPr>
        <w:pStyle w:val="BodyText"/>
        <w:rPr/>
      </w:pPr>
      <w:r/>
    </w:p>
    <w:p>
      <w:pPr>
        <w:sectPr>
          <w:headerReference w:type="default" r:id="rId12"/>
          <w:pgSz w:w="11910" w:h="16840"/>
          <w:pgMar w:top="314" w:right="59" w:bottom="0" w:left="14" w:header="0" w:footer="0" w:gutter="0"/>
        </w:sectPr>
        <w:rPr/>
      </w:pPr>
    </w:p>
    <w:tbl>
      <w:tblPr>
        <w:tblStyle w:val="TableNormal"/>
        <w:tblW w:w="8706" w:type="dxa"/>
        <w:tblInd w:w="1223"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62"/>
        <w:gridCol w:w="1201"/>
        <w:gridCol w:w="1306"/>
        <w:gridCol w:w="4937"/>
      </w:tblGrid>
      <w:tr>
        <w:trPr>
          <w:trHeight w:val="739" w:hRule="atLeast"/>
        </w:trPr>
        <w:tc>
          <w:tcPr>
            <w:shd w:val="clear" w:fill="F2DCDC"/>
            <w:tcW w:w="1262" w:type="dxa"/>
            <w:vAlign w:val="top"/>
            <w:tcBorders>
              <w:top w:val="single" w:color="FFFFFF" w:sz="2" w:space="0"/>
            </w:tcBorders>
          </w:tcPr>
          <w:p>
            <w:pPr>
              <w:rPr>
                <w:rFonts w:ascii="Arial"/>
                <w:sz w:val="21"/>
              </w:rPr>
            </w:pPr>
            <w:r/>
          </w:p>
        </w:tc>
        <w:tc>
          <w:tcPr>
            <w:shd w:val="clear" w:fill="F2DCDC"/>
            <w:tcW w:w="1201" w:type="dxa"/>
            <w:vAlign w:val="top"/>
            <w:tcBorders>
              <w:top w:val="single" w:color="FFFFFF" w:sz="2" w:space="0"/>
            </w:tcBorders>
          </w:tcPr>
          <w:p>
            <w:pPr>
              <w:rPr>
                <w:rFonts w:ascii="Arial"/>
                <w:sz w:val="21"/>
              </w:rPr>
            </w:pPr>
            <w:r/>
          </w:p>
        </w:tc>
        <w:tc>
          <w:tcPr>
            <w:shd w:val="clear" w:fill="F2DCDC"/>
            <w:tcW w:w="1306" w:type="dxa"/>
            <w:vAlign w:val="top"/>
            <w:tcBorders>
              <w:top w:val="single" w:color="FFFFFF" w:sz="2" w:space="0"/>
            </w:tcBorders>
          </w:tcPr>
          <w:p>
            <w:pPr>
              <w:rPr>
                <w:rFonts w:ascii="Arial"/>
                <w:sz w:val="21"/>
              </w:rPr>
            </w:pPr>
            <w:r/>
          </w:p>
        </w:tc>
        <w:tc>
          <w:tcPr>
            <w:shd w:val="clear" w:fill="F2DCDC"/>
            <w:tcW w:w="4937" w:type="dxa"/>
            <w:vAlign w:val="top"/>
            <w:tcBorders>
              <w:top w:val="single" w:color="FFFFFF" w:sz="2" w:space="0"/>
            </w:tcBorders>
          </w:tcPr>
          <w:p>
            <w:pPr>
              <w:pStyle w:val="TableText"/>
              <w:ind w:left="4" w:right="303" w:hanging="1"/>
              <w:spacing w:before="102" w:line="219" w:lineRule="auto"/>
              <w:rPr/>
            </w:pPr>
            <w:r>
              <w:rPr>
                <w:b/>
                <w:bCs/>
                <w:spacing w:val="6"/>
              </w:rPr>
              <w:t>息披露的持续性</w:t>
            </w:r>
            <w:r>
              <w:rPr>
                <w:spacing w:val="6"/>
              </w:rPr>
              <w:t>； 使用募集资金进行</w:t>
            </w:r>
            <w:r>
              <w:rPr>
                <w:b/>
                <w:bCs/>
                <w:spacing w:val="6"/>
              </w:rPr>
              <w:t>现金管理</w:t>
            </w:r>
            <w:r>
              <w:rPr>
                <w:spacing w:val="6"/>
              </w:rPr>
              <w:t>不规</w:t>
            </w:r>
            <w:r>
              <w:rPr>
                <w:spacing w:val="16"/>
                <w:w w:val="101"/>
              </w:rPr>
              <w:t xml:space="preserve"> </w:t>
            </w:r>
            <w:r>
              <w:rPr>
                <w:spacing w:val="2"/>
              </w:rPr>
              <w:t>范。</w:t>
            </w:r>
          </w:p>
        </w:tc>
      </w:tr>
      <w:tr>
        <w:trPr>
          <w:trHeight w:val="1446" w:hRule="atLeast"/>
        </w:trPr>
        <w:tc>
          <w:tcPr>
            <w:tcW w:w="1262" w:type="dxa"/>
            <w:vAlign w:val="top"/>
          </w:tcPr>
          <w:p>
            <w:pPr>
              <w:pStyle w:val="TableText"/>
              <w:ind w:left="263"/>
              <w:spacing w:before="102" w:line="178" w:lineRule="auto"/>
              <w:rPr/>
            </w:pPr>
            <w:r>
              <w:rPr>
                <w:spacing w:val="3"/>
              </w:rPr>
              <w:t>603959</w:t>
            </w:r>
          </w:p>
        </w:tc>
        <w:tc>
          <w:tcPr>
            <w:tcW w:w="1201" w:type="dxa"/>
            <w:vAlign w:val="top"/>
          </w:tcPr>
          <w:p>
            <w:pPr>
              <w:pStyle w:val="TableText"/>
              <w:ind w:left="269"/>
              <w:spacing w:before="93" w:line="185" w:lineRule="auto"/>
              <w:rPr/>
            </w:pPr>
            <w:r>
              <w:rPr/>
              <w:t>ST</w:t>
            </w:r>
            <w:r>
              <w:rPr>
                <w:spacing w:val="8"/>
              </w:rPr>
              <w:t>百利</w:t>
            </w:r>
          </w:p>
        </w:tc>
        <w:tc>
          <w:tcPr>
            <w:tcW w:w="1306" w:type="dxa"/>
            <w:vAlign w:val="top"/>
          </w:tcPr>
          <w:p>
            <w:pPr>
              <w:pStyle w:val="TableText"/>
              <w:ind w:left="228"/>
              <w:spacing w:before="87" w:line="189" w:lineRule="auto"/>
              <w:rPr/>
            </w:pPr>
            <w:r>
              <w:rPr>
                <w:spacing w:val="8"/>
              </w:rPr>
              <w:t>监管警示</w:t>
            </w:r>
          </w:p>
        </w:tc>
        <w:tc>
          <w:tcPr>
            <w:tcW w:w="4937" w:type="dxa"/>
            <w:vAlign w:val="top"/>
          </w:tcPr>
          <w:p>
            <w:pPr>
              <w:pStyle w:val="TableText"/>
              <w:ind w:left="3" w:right="77"/>
              <w:spacing w:before="86" w:line="236" w:lineRule="auto"/>
              <w:jc w:val="both"/>
              <w:rPr/>
            </w:pPr>
            <w:r>
              <w:rPr>
                <w:spacing w:val="9"/>
              </w:rPr>
              <w:t>公司未在</w:t>
            </w:r>
            <w:r>
              <w:rPr>
                <w:b/>
                <w:bCs/>
                <w:spacing w:val="9"/>
              </w:rPr>
              <w:t>重大诉讼、仲裁</w:t>
            </w:r>
            <w:r>
              <w:rPr>
                <w:spacing w:val="9"/>
              </w:rPr>
              <w:t>累计达到最近一期经审计净</w:t>
            </w:r>
            <w:r>
              <w:rPr>
                <w:spacing w:val="18"/>
              </w:rPr>
              <w:t xml:space="preserve"> </w:t>
            </w:r>
            <w:r>
              <w:rPr>
                <w:spacing w:val="6"/>
              </w:rPr>
              <w:t>资产10%时予以披露， 也未在单项重大诉讼、仲裁触</w:t>
            </w:r>
            <w:r>
              <w:rPr>
                <w:spacing w:val="17"/>
                <w:w w:val="101"/>
              </w:rPr>
              <w:t xml:space="preserve"> </w:t>
            </w:r>
            <w:r>
              <w:rPr>
                <w:spacing w:val="7"/>
              </w:rPr>
              <w:t>及披露标准时及时披露相关案件的具体情况， </w:t>
            </w:r>
            <w:r>
              <w:rPr>
                <w:spacing w:val="6"/>
              </w:rPr>
              <w:t>存在重</w:t>
            </w:r>
            <w:r>
              <w:rPr/>
              <w:t xml:space="preserve"> </w:t>
            </w:r>
            <w:r>
              <w:rPr>
                <w:spacing w:val="8"/>
              </w:rPr>
              <w:t>大事项披露不及时的行为。</w:t>
            </w:r>
          </w:p>
        </w:tc>
      </w:tr>
    </w:tbl>
    <w:p>
      <w:pPr>
        <w:ind w:left="315"/>
        <w:spacing w:before="258"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2"/>
        </w:rPr>
        <w:t>（2） 问询函统计</w:t>
      </w:r>
    </w:p>
    <w:p>
      <w:pPr>
        <w:ind w:left="491"/>
        <w:spacing w:before="148"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4"/>
        </w:rPr>
        <w:t>2024年8月5日-8月11</w:t>
      </w:r>
      <w:r>
        <w:rPr>
          <w:rFonts w:ascii="Microsoft YaHei" w:hAnsi="Microsoft YaHei" w:eastAsia="Microsoft YaHei" w:cs="Microsoft YaHei"/>
          <w:sz w:val="24"/>
          <w:szCs w:val="24"/>
          <w:spacing w:val="-30"/>
        </w:rPr>
        <w:t xml:space="preserve"> </w:t>
      </w:r>
      <w:r>
        <w:rPr>
          <w:rFonts w:ascii="Microsoft YaHei" w:hAnsi="Microsoft YaHei" w:eastAsia="Microsoft YaHei" w:cs="Microsoft YaHei"/>
          <w:sz w:val="24"/>
          <w:szCs w:val="24"/>
          <w:spacing w:val="-4"/>
        </w:rPr>
        <w:t>日， 上交所官网未查询到监管问询函。</w:t>
      </w:r>
    </w:p>
    <w:p>
      <w:pPr>
        <w:ind w:left="530"/>
        <w:spacing w:before="305"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rPr>
        <w:t>2、市场交易监管动态</w:t>
      </w:r>
    </w:p>
    <w:p>
      <w:pPr>
        <w:ind w:firstLine="491"/>
        <w:spacing w:before="133"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2024年8月5日-8月11</w:t>
      </w:r>
      <w:r>
        <w:rPr>
          <w:rFonts w:ascii="Microsoft YaHei" w:hAnsi="Microsoft YaHei" w:eastAsia="Microsoft YaHei" w:cs="Microsoft YaHei"/>
          <w:sz w:val="24"/>
          <w:szCs w:val="24"/>
          <w:spacing w:val="-36"/>
        </w:rPr>
        <w:t xml:space="preserve"> </w:t>
      </w:r>
      <w:r>
        <w:rPr>
          <w:rFonts w:ascii="Microsoft YaHei" w:hAnsi="Microsoft YaHei" w:eastAsia="Microsoft YaHei" w:cs="Microsoft YaHei"/>
          <w:sz w:val="24"/>
          <w:szCs w:val="24"/>
          <w:spacing w:val="-2"/>
        </w:rPr>
        <w:t>日， 上交所对172起拉抬打压</w:t>
      </w:r>
      <w:r>
        <w:rPr>
          <w:rFonts w:ascii="Microsoft YaHei" w:hAnsi="Microsoft YaHei" w:eastAsia="Microsoft YaHei" w:cs="Microsoft YaHei"/>
          <w:sz w:val="24"/>
          <w:szCs w:val="24"/>
          <w:spacing w:val="-3"/>
        </w:rPr>
        <w:t>、虚假申报等证券异常交易行为采取了书面警示</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等监管措施， 对13起上市公司重大事项等进行专项核查， 向证监会上报涉嫌违法违规案件</w:t>
      </w:r>
      <w:r>
        <w:rPr>
          <w:rFonts w:ascii="Microsoft YaHei" w:hAnsi="Microsoft YaHei" w:eastAsia="Microsoft YaHei" w:cs="Microsoft YaHei"/>
          <w:sz w:val="24"/>
          <w:szCs w:val="24"/>
          <w:spacing w:val="-4"/>
        </w:rPr>
        <w:t>线索2起。</w:t>
      </w:r>
    </w:p>
    <w:p>
      <w:pPr>
        <w:spacing w:line="359" w:lineRule="auto"/>
        <w:sectPr>
          <w:headerReference w:type="default" r:id="rId2"/>
          <w:pgSz w:w="11910" w:h="16840"/>
          <w:pgMar w:top="400" w:right="558" w:bottom="0" w:left="442" w:header="0" w:footer="0" w:gutter="0"/>
        </w:sectPr>
        <w:rPr>
          <w:rFonts w:ascii="Microsoft YaHei" w:hAnsi="Microsoft YaHei" w:eastAsia="Microsoft YaHei" w:cs="Microsoft YaHei"/>
          <w:sz w:val="24"/>
          <w:szCs w:val="24"/>
        </w:rPr>
      </w:pPr>
    </w:p>
    <w:p>
      <w:pPr>
        <w:ind w:firstLine="2"/>
        <w:spacing w:line="1137" w:lineRule="exact"/>
        <w:rPr/>
      </w:pPr>
      <w:r>
        <w:rPr>
          <w:position w:val="-22"/>
        </w:rPr>
        <w:pict>
          <v:group id="_x0000_s34" style="mso-position-vertical-relative:line;mso-position-horizontal-relative:char;width:67.85pt;height:56.9pt;" filled="false" stroked="false" coordsize="1356,1138" coordorigin="0,0">
            <v:shape id="_x0000_s36" style="position:absolute;left:0;top:0;width:1356;height:1138;" fillcolor="#A61C1F" filled="true" stroked="false" coordsize="1356,1138" coordorigin="0,0" path="m,l1356,0l1356,1137l0,1137l0,0xe"/>
            <v:shape id="_x0000_s38"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p>
    <w:p>
      <w:pPr>
        <w:pStyle w:val="BodyText"/>
        <w:spacing w:line="14" w:lineRule="auto"/>
        <w:rPr>
          <w:sz w:val="2"/>
        </w:rPr>
      </w:pPr>
      <w:r>
        <w:rPr>
          <w:sz w:val="2"/>
          <w:szCs w:val="2"/>
        </w:rPr>
        <w:br w:type="column"/>
      </w:r>
    </w:p>
    <w:p>
      <w:pPr>
        <w:spacing w:before="302"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59" w:bottom="0" w:left="12" w:header="0" w:footer="0" w:gutter="0"/>
          <w:cols w:equalWidth="0" w:num="2">
            <w:col w:w="1556" w:space="100"/>
            <w:col w:w="10184" w:space="0"/>
          </w:cols>
        </w:sectPr>
        <w:rPr>
          <w:rFonts w:ascii="Microsoft YaHei" w:hAnsi="Microsoft YaHei" w:eastAsia="Microsoft YaHei" w:cs="Microsoft YaHei"/>
          <w:sz w:val="43"/>
          <w:szCs w:val="43"/>
        </w:rPr>
      </w:pPr>
    </w:p>
    <w:p>
      <w:pPr>
        <w:pStyle w:val="BodyText"/>
        <w:spacing w:line="384" w:lineRule="auto"/>
        <w:rPr/>
      </w:pPr>
      <w:r>
        <w:drawing>
          <wp:anchor distT="0" distB="0" distL="0" distR="0" simplePos="0" relativeHeight="251685888" behindDoc="0" locked="0" layoutInCell="1" allowOverlap="1">
            <wp:simplePos x="0" y="0"/>
            <wp:positionH relativeFrom="column">
              <wp:posOffset>842645</wp:posOffset>
            </wp:positionH>
            <wp:positionV relativeFrom="paragraph">
              <wp:posOffset>-34658</wp:posOffset>
            </wp:positionV>
            <wp:extent cx="6675119" cy="32245"/>
            <wp:effectExtent l="0" t="0" r="0" b="0"/>
            <wp:wrapNone/>
            <wp:docPr id="24" name="IM 24"/>
            <wp:cNvGraphicFramePr/>
            <a:graphic>
              <a:graphicData uri="http://schemas.openxmlformats.org/drawingml/2006/picture">
                <pic:pic>
                  <pic:nvPicPr>
                    <pic:cNvPr id="24" name="IM 24"/>
                    <pic:cNvPicPr/>
                  </pic:nvPicPr>
                  <pic:blipFill>
                    <a:blip r:embed="rId16"/>
                    <a:stretch>
                      <a:fillRect/>
                    </a:stretch>
                  </pic:blipFill>
                  <pic:spPr>
                    <a:xfrm rot="0">
                      <a:off x="0" y="0"/>
                      <a:ext cx="6675119" cy="32245"/>
                    </a:xfrm>
                    <a:prstGeom prst="rect">
                      <a:avLst/>
                    </a:prstGeom>
                  </pic:spPr>
                </pic:pic>
              </a:graphicData>
            </a:graphic>
          </wp:anchor>
        </w:drawing>
      </w:r>
      <w:r/>
    </w:p>
    <w:p>
      <w:pPr>
        <w:spacing w:line="924" w:lineRule="exact"/>
        <w:rPr/>
      </w:pPr>
      <w:r>
        <w:rPr>
          <w:position w:val="-18"/>
        </w:rPr>
        <w:pict>
          <v:group id="_x0000_s40" style="mso-position-vertical-relative:line;mso-position-horizontal-relative:char;width:134.8pt;height:46.25pt;" filled="false" stroked="false" coordsize="2696,925" coordorigin="0,0">
            <v:shape id="_x0000_s42" style="position:absolute;left:0;top:0;width:2696;height:925;" filled="false" stroked="false" type="#_x0000_t75">
              <v:imagedata o:title="" r:id="rId14"/>
            </v:shape>
            <v:shape id="_x0000_s44" style="position:absolute;left:-20;top:-20;width:2736;height:965;" filled="false" stroked="false" type="#_x0000_t202">
              <v:fill on="false"/>
              <v:stroke on="false"/>
              <v:path/>
              <v:imagedata o:title=""/>
              <o:lock v:ext="edit" aspectratio="false"/>
              <v:textbox inset="0mm,0mm,0mm,0mm">
                <w:txbxContent>
                  <w:p>
                    <w:pPr>
                      <w:ind w:left="364"/>
                      <w:spacing w:before="282"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深交所监管动态</w:t>
                    </w:r>
                  </w:p>
                </w:txbxContent>
              </v:textbox>
            </v:shape>
          </v:group>
        </w:pict>
      </w:r>
    </w:p>
    <w:p>
      <w:pPr>
        <w:pStyle w:val="BodyText"/>
        <w:spacing w:line="323" w:lineRule="auto"/>
        <w:rPr/>
      </w:pPr>
      <w:r/>
    </w:p>
    <w:p>
      <w:pPr>
        <w:ind w:left="890"/>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1、上市公司监管动态</w:t>
      </w:r>
    </w:p>
    <w:p>
      <w:pPr>
        <w:ind w:left="921"/>
        <w:spacing w:before="17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2024年8月5日-8月11</w:t>
      </w:r>
      <w:r>
        <w:rPr>
          <w:rFonts w:ascii="Microsoft YaHei" w:hAnsi="Microsoft YaHei" w:eastAsia="Microsoft YaHei" w:cs="Microsoft YaHei"/>
          <w:sz w:val="24"/>
          <w:szCs w:val="24"/>
          <w:spacing w:val="-36"/>
        </w:rPr>
        <w:t xml:space="preserve"> </w:t>
      </w:r>
      <w:r>
        <w:rPr>
          <w:rFonts w:ascii="Microsoft YaHei" w:hAnsi="Microsoft YaHei" w:eastAsia="Microsoft YaHei" w:cs="Microsoft YaHei"/>
          <w:sz w:val="24"/>
          <w:szCs w:val="24"/>
          <w:spacing w:val="-5"/>
        </w:rPr>
        <w:t>日， 深交所发出9份监管函， 2份纪律处分</w:t>
      </w:r>
      <w:r>
        <w:rPr>
          <w:rFonts w:ascii="Microsoft YaHei" w:hAnsi="Microsoft YaHei" w:eastAsia="Microsoft YaHei" w:cs="Microsoft YaHei"/>
          <w:sz w:val="24"/>
          <w:szCs w:val="24"/>
          <w:spacing w:val="-6"/>
        </w:rPr>
        <w:t>措施。</w:t>
      </w:r>
    </w:p>
    <w:p>
      <w:pPr>
        <w:pStyle w:val="BodyText"/>
        <w:spacing w:line="413" w:lineRule="auto"/>
        <w:rPr/>
      </w:pPr>
      <w:r/>
    </w:p>
    <w:p>
      <w:pPr>
        <w:ind w:firstLine="1268"/>
        <w:spacing w:line="4431" w:lineRule="exact"/>
        <w:rPr/>
      </w:pPr>
      <w:r>
        <w:rPr>
          <w:position w:val="-88"/>
        </w:rPr>
        <w:drawing>
          <wp:inline distT="0" distB="0" distL="0" distR="0">
            <wp:extent cx="5811520" cy="2813685"/>
            <wp:effectExtent l="0" t="0" r="0" b="0"/>
            <wp:docPr id="26" name="IM 26"/>
            <wp:cNvGraphicFramePr/>
            <a:graphic>
              <a:graphicData uri="http://schemas.openxmlformats.org/drawingml/2006/picture">
                <pic:pic>
                  <pic:nvPicPr>
                    <pic:cNvPr id="26" name="IM 26"/>
                    <pic:cNvPicPr/>
                  </pic:nvPicPr>
                  <pic:blipFill>
                    <a:blip r:embed="rId17"/>
                    <a:stretch>
                      <a:fillRect/>
                    </a:stretch>
                  </pic:blipFill>
                  <pic:spPr>
                    <a:xfrm rot="0">
                      <a:off x="0" y="0"/>
                      <a:ext cx="5811520" cy="2813685"/>
                    </a:xfrm>
                    <a:prstGeom prst="rect">
                      <a:avLst/>
                    </a:prstGeom>
                  </pic:spPr>
                </pic:pic>
              </a:graphicData>
            </a:graphic>
          </wp:inline>
        </w:drawing>
      </w:r>
    </w:p>
    <w:p>
      <w:pPr>
        <w:pStyle w:val="BodyText"/>
        <w:rPr/>
      </w:pPr>
      <w:r/>
    </w:p>
    <w:p>
      <w:pPr>
        <w:ind w:left="745"/>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（1） 纪律处分及监管措施</w:t>
      </w:r>
    </w:p>
    <w:p>
      <w:pPr>
        <w:spacing w:line="173" w:lineRule="exact"/>
        <w:rPr/>
      </w:pPr>
      <w:r/>
    </w:p>
    <w:tbl>
      <w:tblPr>
        <w:tblStyle w:val="TableNormal"/>
        <w:tblW w:w="8706" w:type="dxa"/>
        <w:tblInd w:w="1489"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23"/>
        <w:gridCol w:w="1436"/>
        <w:gridCol w:w="1449"/>
        <w:gridCol w:w="4398"/>
      </w:tblGrid>
      <w:tr>
        <w:trPr>
          <w:trHeight w:val="641" w:hRule="atLeast"/>
        </w:trPr>
        <w:tc>
          <w:tcPr>
            <w:shd w:val="clear" w:fill="4BACC6"/>
            <w:tcW w:w="1423" w:type="dxa"/>
            <w:vAlign w:val="top"/>
          </w:tcPr>
          <w:p>
            <w:pPr>
              <w:pStyle w:val="TableText"/>
              <w:ind w:left="273"/>
              <w:spacing w:before="94" w:line="183" w:lineRule="auto"/>
              <w:rPr>
                <w:sz w:val="22"/>
                <w:szCs w:val="22"/>
              </w:rPr>
            </w:pPr>
            <w:r>
              <w:rPr>
                <w:sz w:val="22"/>
                <w:szCs w:val="22"/>
                <w:b/>
                <w:bCs/>
                <w:color w:val="FFFFFF"/>
                <w:spacing w:val="-1"/>
              </w:rPr>
              <w:t>公司代码</w:t>
            </w:r>
          </w:p>
        </w:tc>
        <w:tc>
          <w:tcPr>
            <w:shd w:val="clear" w:fill="4BACC6"/>
            <w:tcW w:w="1436" w:type="dxa"/>
            <w:vAlign w:val="top"/>
            <w:tcBorders>
              <w:top w:val="nil"/>
            </w:tcBorders>
          </w:tcPr>
          <w:p>
            <w:pPr>
              <w:pStyle w:val="TableText"/>
              <w:ind w:left="278"/>
              <w:spacing w:before="94" w:line="183" w:lineRule="auto"/>
              <w:rPr>
                <w:sz w:val="22"/>
                <w:szCs w:val="22"/>
              </w:rPr>
            </w:pPr>
            <w:r>
              <w:rPr>
                <w:sz w:val="22"/>
                <w:szCs w:val="22"/>
                <w:b/>
                <w:bCs/>
                <w:color w:val="FFFFFF"/>
                <w:spacing w:val="-1"/>
              </w:rPr>
              <w:t>公司简称</w:t>
            </w:r>
          </w:p>
        </w:tc>
        <w:tc>
          <w:tcPr>
            <w:shd w:val="clear" w:fill="4BACC6"/>
            <w:tcW w:w="1449" w:type="dxa"/>
            <w:vAlign w:val="top"/>
            <w:tcBorders>
              <w:top w:val="nil"/>
            </w:tcBorders>
          </w:tcPr>
          <w:p>
            <w:pPr>
              <w:pStyle w:val="TableText"/>
              <w:ind w:left="284"/>
              <w:spacing w:before="94" w:line="183" w:lineRule="auto"/>
              <w:rPr>
                <w:sz w:val="22"/>
                <w:szCs w:val="22"/>
              </w:rPr>
            </w:pPr>
            <w:r>
              <w:rPr>
                <w:sz w:val="22"/>
                <w:szCs w:val="22"/>
                <w:b/>
                <w:bCs/>
                <w:color w:val="FFFFFF"/>
                <w:spacing w:val="-1"/>
              </w:rPr>
              <w:t>监管类型</w:t>
            </w:r>
          </w:p>
        </w:tc>
        <w:tc>
          <w:tcPr>
            <w:shd w:val="clear" w:fill="4BACC6"/>
            <w:tcW w:w="4398" w:type="dxa"/>
            <w:vAlign w:val="top"/>
            <w:tcBorders>
              <w:top w:val="nil"/>
            </w:tcBorders>
          </w:tcPr>
          <w:p>
            <w:pPr>
              <w:pStyle w:val="TableText"/>
              <w:ind w:left="1756"/>
              <w:spacing w:before="94" w:line="183" w:lineRule="auto"/>
              <w:rPr>
                <w:sz w:val="22"/>
                <w:szCs w:val="22"/>
              </w:rPr>
            </w:pPr>
            <w:r>
              <w:rPr>
                <w:sz w:val="22"/>
                <w:szCs w:val="22"/>
                <w:b/>
                <w:bCs/>
                <w:color w:val="FFFFFF"/>
                <w:spacing w:val="-1"/>
              </w:rPr>
              <w:t>处理事由</w:t>
            </w:r>
          </w:p>
        </w:tc>
      </w:tr>
      <w:tr>
        <w:trPr>
          <w:trHeight w:val="725" w:hRule="atLeast"/>
        </w:trPr>
        <w:tc>
          <w:tcPr>
            <w:shd w:val="clear" w:fill="C7DAF1"/>
            <w:tcW w:w="1423" w:type="dxa"/>
            <w:vAlign w:val="top"/>
          </w:tcPr>
          <w:p>
            <w:pPr>
              <w:pStyle w:val="TableText"/>
              <w:ind w:left="348"/>
              <w:spacing w:before="279" w:line="178" w:lineRule="auto"/>
              <w:rPr/>
            </w:pPr>
            <w:r>
              <w:rPr>
                <w:spacing w:val="3"/>
              </w:rPr>
              <w:t>002355</w:t>
            </w:r>
          </w:p>
        </w:tc>
        <w:tc>
          <w:tcPr>
            <w:shd w:val="clear" w:fill="C7DAF1"/>
            <w:tcW w:w="1436" w:type="dxa"/>
            <w:vAlign w:val="top"/>
          </w:tcPr>
          <w:p>
            <w:pPr>
              <w:pStyle w:val="TableText"/>
              <w:ind w:left="298"/>
              <w:spacing w:before="264" w:line="189" w:lineRule="auto"/>
              <w:rPr/>
            </w:pPr>
            <w:r>
              <w:rPr>
                <w:spacing w:val="8"/>
              </w:rPr>
              <w:t>兴民智通</w:t>
            </w:r>
          </w:p>
        </w:tc>
        <w:tc>
          <w:tcPr>
            <w:shd w:val="clear" w:fill="C7DAF1"/>
            <w:tcW w:w="1449" w:type="dxa"/>
            <w:vAlign w:val="top"/>
          </w:tcPr>
          <w:p>
            <w:pPr>
              <w:pStyle w:val="TableText"/>
              <w:ind w:left="409"/>
              <w:spacing w:before="264" w:line="189" w:lineRule="auto"/>
              <w:rPr/>
            </w:pPr>
            <w:r>
              <w:rPr>
                <w:spacing w:val="8"/>
              </w:rPr>
              <w:t>监管函</w:t>
            </w:r>
          </w:p>
        </w:tc>
        <w:tc>
          <w:tcPr>
            <w:shd w:val="clear" w:fill="C7DAF1"/>
            <w:tcW w:w="4398" w:type="dxa"/>
            <w:vAlign w:val="top"/>
          </w:tcPr>
          <w:p>
            <w:pPr>
              <w:pStyle w:val="TableText"/>
              <w:ind w:left="108" w:right="300" w:firstLine="3"/>
              <w:spacing w:before="85" w:line="220" w:lineRule="auto"/>
              <w:rPr/>
            </w:pPr>
            <w:r>
              <w:rPr>
                <w:b/>
                <w:bCs/>
                <w:spacing w:val="9"/>
              </w:rPr>
              <w:t>实际控制人受到行政处罚</w:t>
            </w:r>
            <w:r>
              <w:rPr>
                <w:spacing w:val="9"/>
              </w:rPr>
              <w:t>未配合公司履行信 </w:t>
            </w:r>
            <w:r>
              <w:rPr>
                <w:spacing w:val="7"/>
              </w:rPr>
              <w:t>息披露义务。</w:t>
            </w:r>
          </w:p>
        </w:tc>
      </w:tr>
      <w:tr>
        <w:trPr>
          <w:trHeight w:val="725" w:hRule="atLeast"/>
        </w:trPr>
        <w:tc>
          <w:tcPr>
            <w:tcW w:w="1423" w:type="dxa"/>
            <w:vAlign w:val="top"/>
          </w:tcPr>
          <w:p>
            <w:pPr>
              <w:pStyle w:val="TableText"/>
              <w:ind w:left="348"/>
              <w:spacing w:before="279" w:line="179" w:lineRule="auto"/>
              <w:rPr/>
            </w:pPr>
            <w:r>
              <w:rPr>
                <w:spacing w:val="3"/>
              </w:rPr>
              <w:t>000421</w:t>
            </w:r>
          </w:p>
        </w:tc>
        <w:tc>
          <w:tcPr>
            <w:tcW w:w="1436" w:type="dxa"/>
            <w:vAlign w:val="top"/>
          </w:tcPr>
          <w:p>
            <w:pPr>
              <w:pStyle w:val="TableText"/>
              <w:ind w:left="298"/>
              <w:spacing w:before="266" w:line="189" w:lineRule="auto"/>
              <w:rPr/>
            </w:pPr>
            <w:r>
              <w:rPr>
                <w:spacing w:val="8"/>
              </w:rPr>
              <w:t>南京公用</w:t>
            </w:r>
          </w:p>
        </w:tc>
        <w:tc>
          <w:tcPr>
            <w:tcW w:w="1449" w:type="dxa"/>
            <w:vAlign w:val="top"/>
          </w:tcPr>
          <w:p>
            <w:pPr>
              <w:pStyle w:val="TableText"/>
              <w:ind w:left="409"/>
              <w:spacing w:before="266" w:line="189" w:lineRule="auto"/>
              <w:rPr/>
            </w:pPr>
            <w:r>
              <w:rPr>
                <w:spacing w:val="8"/>
              </w:rPr>
              <w:t>监管函</w:t>
            </w:r>
          </w:p>
        </w:tc>
        <w:tc>
          <w:tcPr>
            <w:tcW w:w="4398" w:type="dxa"/>
            <w:vAlign w:val="top"/>
          </w:tcPr>
          <w:p>
            <w:pPr>
              <w:pStyle w:val="TableText"/>
              <w:ind w:left="108" w:right="297"/>
              <w:spacing w:before="85" w:line="220" w:lineRule="auto"/>
              <w:rPr/>
            </w:pPr>
            <w:r>
              <w:rPr>
                <w:spacing w:val="6"/>
              </w:rPr>
              <w:t>公司未将部分企业识别为关联方， 未就相关 </w:t>
            </w:r>
            <w:r>
              <w:rPr>
                <w:b/>
                <w:bCs/>
                <w:spacing w:val="9"/>
              </w:rPr>
              <w:t>关联交易</w:t>
            </w:r>
            <w:r>
              <w:rPr>
                <w:spacing w:val="9"/>
              </w:rPr>
              <w:t>履行决策程序并及时披露。</w:t>
            </w:r>
          </w:p>
        </w:tc>
      </w:tr>
      <w:tr>
        <w:trPr>
          <w:trHeight w:val="724" w:hRule="atLeast"/>
        </w:trPr>
        <w:tc>
          <w:tcPr>
            <w:shd w:val="clear" w:fill="C7DAF1"/>
            <w:tcW w:w="1423" w:type="dxa"/>
            <w:vAlign w:val="top"/>
          </w:tcPr>
          <w:p>
            <w:pPr>
              <w:pStyle w:val="TableText"/>
              <w:ind w:left="353"/>
              <w:spacing w:before="279" w:line="179" w:lineRule="auto"/>
              <w:rPr/>
            </w:pPr>
            <w:r>
              <w:rPr>
                <w:spacing w:val="3"/>
              </w:rPr>
              <w:t>300105</w:t>
            </w:r>
          </w:p>
        </w:tc>
        <w:tc>
          <w:tcPr>
            <w:shd w:val="clear" w:fill="C7DAF1"/>
            <w:tcW w:w="1436" w:type="dxa"/>
            <w:vAlign w:val="top"/>
          </w:tcPr>
          <w:p>
            <w:pPr>
              <w:pStyle w:val="TableText"/>
              <w:ind w:left="294"/>
              <w:spacing w:before="266" w:line="189" w:lineRule="auto"/>
              <w:rPr/>
            </w:pPr>
            <w:r>
              <w:rPr>
                <w:spacing w:val="9"/>
              </w:rPr>
              <w:t>龙源技术</w:t>
            </w:r>
          </w:p>
        </w:tc>
        <w:tc>
          <w:tcPr>
            <w:shd w:val="clear" w:fill="C7DAF1"/>
            <w:tcW w:w="1449" w:type="dxa"/>
            <w:vAlign w:val="top"/>
          </w:tcPr>
          <w:p>
            <w:pPr>
              <w:pStyle w:val="TableText"/>
              <w:ind w:left="409"/>
              <w:spacing w:before="265" w:line="189" w:lineRule="auto"/>
              <w:rPr/>
            </w:pPr>
            <w:r>
              <w:rPr>
                <w:spacing w:val="8"/>
              </w:rPr>
              <w:t>监管函</w:t>
            </w:r>
          </w:p>
        </w:tc>
        <w:tc>
          <w:tcPr>
            <w:shd w:val="clear" w:fill="C7DAF1"/>
            <w:tcW w:w="4398" w:type="dxa"/>
            <w:vAlign w:val="top"/>
          </w:tcPr>
          <w:p>
            <w:pPr>
              <w:pStyle w:val="TableText"/>
              <w:ind w:left="126" w:right="297" w:hanging="18"/>
              <w:spacing w:before="84" w:line="220" w:lineRule="auto"/>
              <w:rPr/>
            </w:pPr>
            <w:r>
              <w:rPr>
                <w:spacing w:val="9"/>
              </w:rPr>
              <w:t>公司未按规定在会计年度结束之日起一个月</w:t>
            </w:r>
            <w:r>
              <w:rPr>
                <w:spacing w:val="14"/>
              </w:rPr>
              <w:t xml:space="preserve"> </w:t>
            </w:r>
            <w:r>
              <w:rPr>
                <w:spacing w:val="5"/>
              </w:rPr>
              <w:t>内进行</w:t>
            </w:r>
            <w:r>
              <w:rPr>
                <w:b/>
                <w:bCs/>
                <w:spacing w:val="5"/>
              </w:rPr>
              <w:t>业绩预告。</w:t>
            </w:r>
          </w:p>
        </w:tc>
      </w:tr>
      <w:tr>
        <w:trPr>
          <w:trHeight w:val="1085" w:hRule="atLeast"/>
        </w:trPr>
        <w:tc>
          <w:tcPr>
            <w:tcW w:w="1423" w:type="dxa"/>
            <w:vAlign w:val="top"/>
          </w:tcPr>
          <w:p>
            <w:pPr>
              <w:spacing w:line="375" w:lineRule="auto"/>
              <w:rPr>
                <w:rFonts w:ascii="Arial"/>
                <w:sz w:val="21"/>
              </w:rPr>
            </w:pPr>
            <w:r/>
          </w:p>
          <w:p>
            <w:pPr>
              <w:pStyle w:val="TableText"/>
              <w:ind w:left="353"/>
              <w:spacing w:before="86" w:line="178" w:lineRule="auto"/>
              <w:rPr/>
            </w:pPr>
            <w:r>
              <w:rPr>
                <w:spacing w:val="3"/>
              </w:rPr>
              <w:t>300427</w:t>
            </w:r>
          </w:p>
        </w:tc>
        <w:tc>
          <w:tcPr>
            <w:tcW w:w="1436" w:type="dxa"/>
            <w:vAlign w:val="top"/>
          </w:tcPr>
          <w:p>
            <w:pPr>
              <w:spacing w:line="360" w:lineRule="auto"/>
              <w:rPr>
                <w:rFonts w:ascii="Arial"/>
                <w:sz w:val="21"/>
              </w:rPr>
            </w:pPr>
            <w:r/>
          </w:p>
          <w:p>
            <w:pPr>
              <w:pStyle w:val="TableText"/>
              <w:ind w:left="345"/>
              <w:spacing w:before="86" w:line="189" w:lineRule="auto"/>
              <w:rPr/>
            </w:pPr>
            <w:r>
              <w:rPr>
                <w:spacing w:val="8"/>
              </w:rPr>
              <w:t>*</w:t>
            </w:r>
            <w:r>
              <w:rPr/>
              <w:t>ST</w:t>
            </w:r>
            <w:r>
              <w:rPr>
                <w:spacing w:val="8"/>
              </w:rPr>
              <w:t>红相</w:t>
            </w:r>
          </w:p>
        </w:tc>
        <w:tc>
          <w:tcPr>
            <w:tcW w:w="1449" w:type="dxa"/>
            <w:vAlign w:val="top"/>
          </w:tcPr>
          <w:p>
            <w:pPr>
              <w:spacing w:line="360" w:lineRule="auto"/>
              <w:rPr>
                <w:rFonts w:ascii="Arial"/>
                <w:sz w:val="21"/>
              </w:rPr>
            </w:pPr>
            <w:r/>
          </w:p>
          <w:p>
            <w:pPr>
              <w:pStyle w:val="TableText"/>
              <w:ind w:left="409"/>
              <w:spacing w:before="86" w:line="189" w:lineRule="auto"/>
              <w:rPr/>
            </w:pPr>
            <w:r>
              <w:rPr>
                <w:spacing w:val="8"/>
              </w:rPr>
              <w:t>监管函</w:t>
            </w:r>
          </w:p>
        </w:tc>
        <w:tc>
          <w:tcPr>
            <w:tcW w:w="4398" w:type="dxa"/>
            <w:vAlign w:val="top"/>
          </w:tcPr>
          <w:p>
            <w:pPr>
              <w:pStyle w:val="TableText"/>
              <w:ind w:left="117" w:right="297" w:hanging="9"/>
              <w:spacing w:before="89" w:line="249" w:lineRule="auto"/>
              <w:rPr/>
            </w:pPr>
            <w:r>
              <w:rPr>
                <w:spacing w:val="9"/>
              </w:rPr>
              <w:t>公司</w:t>
            </w:r>
            <w:r>
              <w:rPr>
                <w:b/>
                <w:bCs/>
                <w:spacing w:val="9"/>
              </w:rPr>
              <w:t>业绩预告</w:t>
            </w:r>
            <w:r>
              <w:rPr>
                <w:spacing w:val="9"/>
              </w:rPr>
              <w:t>披露的预计净利润与年报披露</w:t>
            </w:r>
            <w:r>
              <w:rPr>
                <w:spacing w:val="14"/>
              </w:rPr>
              <w:t xml:space="preserve"> </w:t>
            </w:r>
            <w:r>
              <w:rPr>
                <w:spacing w:val="9"/>
              </w:rPr>
              <w:t>的经审计净利润存在较大差异且未及时修</w:t>
            </w:r>
          </w:p>
          <w:p>
            <w:pPr>
              <w:pStyle w:val="TableText"/>
              <w:ind w:left="109"/>
              <w:spacing w:before="26" w:line="173" w:lineRule="auto"/>
              <w:rPr/>
            </w:pPr>
            <w:r>
              <w:rPr>
                <w:spacing w:val="3"/>
              </w:rPr>
              <w:t>正。</w:t>
            </w:r>
          </w:p>
        </w:tc>
      </w:tr>
      <w:tr>
        <w:trPr>
          <w:trHeight w:val="611" w:hRule="atLeast"/>
        </w:trPr>
        <w:tc>
          <w:tcPr>
            <w:shd w:val="clear" w:fill="C7DAF1"/>
            <w:tcW w:w="1423" w:type="dxa"/>
            <w:vAlign w:val="top"/>
          </w:tcPr>
          <w:p>
            <w:pPr>
              <w:pStyle w:val="TableText"/>
              <w:ind w:left="348"/>
              <w:spacing w:before="225" w:line="178" w:lineRule="auto"/>
              <w:rPr/>
            </w:pPr>
            <w:r>
              <w:rPr>
                <w:spacing w:val="3"/>
              </w:rPr>
              <w:t>002685</w:t>
            </w:r>
          </w:p>
        </w:tc>
        <w:tc>
          <w:tcPr>
            <w:shd w:val="clear" w:fill="C7DAF1"/>
            <w:tcW w:w="1436" w:type="dxa"/>
            <w:vAlign w:val="top"/>
          </w:tcPr>
          <w:p>
            <w:pPr>
              <w:pStyle w:val="TableText"/>
              <w:ind w:left="297"/>
              <w:spacing w:before="210" w:line="189" w:lineRule="auto"/>
              <w:rPr/>
            </w:pPr>
            <w:r>
              <w:rPr>
                <w:spacing w:val="8"/>
              </w:rPr>
              <w:t>华东重机</w:t>
            </w:r>
          </w:p>
        </w:tc>
        <w:tc>
          <w:tcPr>
            <w:shd w:val="clear" w:fill="C7DAF1"/>
            <w:tcW w:w="1449" w:type="dxa"/>
            <w:vAlign w:val="top"/>
          </w:tcPr>
          <w:p>
            <w:pPr>
              <w:pStyle w:val="TableText"/>
              <w:ind w:left="409"/>
              <w:spacing w:before="210" w:line="189" w:lineRule="auto"/>
              <w:rPr/>
            </w:pPr>
            <w:r>
              <w:rPr>
                <w:spacing w:val="8"/>
              </w:rPr>
              <w:t>监管函</w:t>
            </w:r>
          </w:p>
        </w:tc>
        <w:tc>
          <w:tcPr>
            <w:shd w:val="clear" w:fill="C7DAF1"/>
            <w:tcW w:w="4398" w:type="dxa"/>
            <w:vAlign w:val="top"/>
          </w:tcPr>
          <w:p>
            <w:pPr>
              <w:pStyle w:val="TableText"/>
              <w:ind w:left="110"/>
              <w:spacing w:before="210" w:line="189" w:lineRule="auto"/>
              <w:rPr/>
            </w:pPr>
            <w:r>
              <w:rPr>
                <w:spacing w:val="8"/>
              </w:rPr>
              <w:t>董事、副总经理配偶</w:t>
            </w:r>
            <w:r>
              <w:rPr>
                <w:b/>
                <w:bCs/>
                <w:spacing w:val="8"/>
              </w:rPr>
              <w:t>短线交易</w:t>
            </w:r>
            <w:r>
              <w:rPr>
                <w:spacing w:val="8"/>
              </w:rPr>
              <w:t>。</w:t>
            </w:r>
          </w:p>
        </w:tc>
      </w:tr>
      <w:tr>
        <w:trPr>
          <w:trHeight w:val="724" w:hRule="atLeast"/>
        </w:trPr>
        <w:tc>
          <w:tcPr>
            <w:tcW w:w="1423" w:type="dxa"/>
            <w:vAlign w:val="top"/>
          </w:tcPr>
          <w:p>
            <w:pPr>
              <w:pStyle w:val="TableText"/>
              <w:ind w:left="348"/>
              <w:spacing w:before="279" w:line="179" w:lineRule="auto"/>
              <w:rPr/>
            </w:pPr>
            <w:r>
              <w:rPr>
                <w:spacing w:val="3"/>
              </w:rPr>
              <w:t>002561</w:t>
            </w:r>
          </w:p>
        </w:tc>
        <w:tc>
          <w:tcPr>
            <w:tcW w:w="1436" w:type="dxa"/>
            <w:vAlign w:val="top"/>
          </w:tcPr>
          <w:p>
            <w:pPr>
              <w:pStyle w:val="TableText"/>
              <w:ind w:left="402"/>
              <w:spacing w:before="265" w:line="190" w:lineRule="auto"/>
              <w:rPr/>
            </w:pPr>
            <w:r>
              <w:rPr>
                <w:spacing w:val="8"/>
              </w:rPr>
              <w:t>徐家汇</w:t>
            </w:r>
          </w:p>
        </w:tc>
        <w:tc>
          <w:tcPr>
            <w:tcW w:w="1449" w:type="dxa"/>
            <w:vAlign w:val="top"/>
          </w:tcPr>
          <w:p>
            <w:pPr>
              <w:pStyle w:val="TableText"/>
              <w:ind w:left="409"/>
              <w:spacing w:before="266" w:line="189" w:lineRule="auto"/>
              <w:rPr/>
            </w:pPr>
            <w:r>
              <w:rPr>
                <w:spacing w:val="8"/>
              </w:rPr>
              <w:t>监管函</w:t>
            </w:r>
          </w:p>
        </w:tc>
        <w:tc>
          <w:tcPr>
            <w:tcW w:w="4398" w:type="dxa"/>
            <w:vAlign w:val="top"/>
          </w:tcPr>
          <w:p>
            <w:pPr>
              <w:pStyle w:val="TableText"/>
              <w:ind w:left="108" w:right="228"/>
              <w:spacing w:before="87" w:line="219" w:lineRule="auto"/>
              <w:rPr/>
            </w:pPr>
            <w:r>
              <w:rPr>
                <w:spacing w:val="5"/>
              </w:rPr>
              <w:t>未及时披露</w:t>
            </w:r>
            <w:r>
              <w:rPr>
                <w:b/>
                <w:bCs/>
                <w:spacing w:val="5"/>
              </w:rPr>
              <w:t>征收补偿款</w:t>
            </w:r>
            <w:r>
              <w:rPr>
                <w:spacing w:val="5"/>
              </w:rPr>
              <w:t>； 2023年年报中</w:t>
            </w:r>
            <w:r>
              <w:rPr>
                <w:b/>
                <w:bCs/>
                <w:spacing w:val="5"/>
              </w:rPr>
              <w:t>前五</w:t>
            </w:r>
            <w:r>
              <w:rPr>
                <w:b/>
                <w:bCs/>
                <w:spacing w:val="16"/>
              </w:rPr>
              <w:t xml:space="preserve"> </w:t>
            </w:r>
            <w:r>
              <w:rPr>
                <w:b/>
                <w:bCs/>
                <w:spacing w:val="8"/>
              </w:rPr>
              <w:t>大客户</w:t>
            </w:r>
            <w:r>
              <w:rPr>
                <w:spacing w:val="8"/>
              </w:rPr>
              <w:t>信息披露不准确。</w:t>
            </w:r>
          </w:p>
        </w:tc>
      </w:tr>
      <w:tr>
        <w:trPr>
          <w:trHeight w:val="1085" w:hRule="atLeast"/>
        </w:trPr>
        <w:tc>
          <w:tcPr>
            <w:shd w:val="clear" w:fill="C7DAF1"/>
            <w:tcW w:w="1423" w:type="dxa"/>
            <w:vAlign w:val="top"/>
          </w:tcPr>
          <w:p>
            <w:pPr>
              <w:spacing w:line="374" w:lineRule="auto"/>
              <w:rPr>
                <w:rFonts w:ascii="Arial"/>
                <w:sz w:val="21"/>
              </w:rPr>
            </w:pPr>
            <w:r/>
          </w:p>
          <w:p>
            <w:pPr>
              <w:pStyle w:val="TableText"/>
              <w:ind w:left="353"/>
              <w:spacing w:before="86" w:line="179" w:lineRule="auto"/>
              <w:rPr/>
            </w:pPr>
            <w:r>
              <w:rPr>
                <w:spacing w:val="3"/>
              </w:rPr>
              <w:t>301099</w:t>
            </w:r>
          </w:p>
        </w:tc>
        <w:tc>
          <w:tcPr>
            <w:shd w:val="clear" w:fill="C7DAF1"/>
            <w:tcW w:w="1436" w:type="dxa"/>
            <w:vAlign w:val="top"/>
          </w:tcPr>
          <w:p>
            <w:pPr>
              <w:spacing w:line="361" w:lineRule="auto"/>
              <w:rPr>
                <w:rFonts w:ascii="Arial"/>
                <w:sz w:val="21"/>
              </w:rPr>
            </w:pPr>
            <w:r/>
          </w:p>
          <w:p>
            <w:pPr>
              <w:pStyle w:val="TableText"/>
              <w:ind w:left="295"/>
              <w:spacing w:before="85" w:line="189" w:lineRule="auto"/>
              <w:rPr/>
            </w:pPr>
            <w:r>
              <w:rPr>
                <w:spacing w:val="8"/>
              </w:rPr>
              <w:t>雅创电子</w:t>
            </w:r>
          </w:p>
        </w:tc>
        <w:tc>
          <w:tcPr>
            <w:shd w:val="clear" w:fill="C7DAF1"/>
            <w:tcW w:w="1449" w:type="dxa"/>
            <w:vAlign w:val="top"/>
          </w:tcPr>
          <w:p>
            <w:pPr>
              <w:spacing w:line="361" w:lineRule="auto"/>
              <w:rPr>
                <w:rFonts w:ascii="Arial"/>
                <w:sz w:val="21"/>
              </w:rPr>
            </w:pPr>
            <w:r/>
          </w:p>
          <w:p>
            <w:pPr>
              <w:pStyle w:val="TableText"/>
              <w:ind w:left="409"/>
              <w:spacing w:before="86" w:line="189" w:lineRule="auto"/>
              <w:rPr/>
            </w:pPr>
            <w:r>
              <w:rPr>
                <w:spacing w:val="8"/>
              </w:rPr>
              <w:t>监管函</w:t>
            </w:r>
          </w:p>
        </w:tc>
        <w:tc>
          <w:tcPr>
            <w:shd w:val="clear" w:fill="C7DAF1"/>
            <w:tcW w:w="4398" w:type="dxa"/>
            <w:vAlign w:val="top"/>
          </w:tcPr>
          <w:p>
            <w:pPr>
              <w:pStyle w:val="TableText"/>
              <w:ind w:left="109" w:right="153" w:firstLine="8"/>
              <w:spacing w:before="88" w:line="250" w:lineRule="auto"/>
              <w:rPr/>
            </w:pPr>
            <w:r>
              <w:rPr>
                <w:spacing w:val="8"/>
              </w:rPr>
              <w:t>2023年半年度报告、2023年第三季度</w:t>
            </w:r>
            <w:r>
              <w:rPr>
                <w:spacing w:val="7"/>
              </w:rPr>
              <w:t>报告以</w:t>
            </w:r>
            <w:r>
              <w:rPr/>
              <w:t xml:space="preserve"> </w:t>
            </w:r>
            <w:r>
              <w:rPr>
                <w:spacing w:val="8"/>
              </w:rPr>
              <w:t>及2024年第一季度报告</w:t>
            </w:r>
            <w:r>
              <w:rPr>
                <w:b/>
                <w:bCs/>
                <w:spacing w:val="8"/>
              </w:rPr>
              <w:t>财务信息</w:t>
            </w:r>
            <w:r>
              <w:rPr>
                <w:spacing w:val="8"/>
              </w:rPr>
              <w:t>披露不准</w:t>
            </w:r>
          </w:p>
          <w:p>
            <w:pPr>
              <w:pStyle w:val="TableText"/>
              <w:ind w:left="107"/>
              <w:spacing w:before="5" w:line="186" w:lineRule="auto"/>
              <w:rPr/>
            </w:pPr>
            <w:r>
              <w:rPr>
                <w:spacing w:val="3"/>
              </w:rPr>
              <w:t>确。</w:t>
            </w:r>
          </w:p>
        </w:tc>
      </w:tr>
      <w:tr>
        <w:trPr>
          <w:trHeight w:val="727" w:hRule="atLeast"/>
        </w:trPr>
        <w:tc>
          <w:tcPr>
            <w:tcW w:w="1423" w:type="dxa"/>
            <w:vAlign w:val="top"/>
          </w:tcPr>
          <w:p>
            <w:pPr>
              <w:pStyle w:val="TableText"/>
              <w:ind w:left="348"/>
              <w:spacing w:before="284" w:line="179" w:lineRule="auto"/>
              <w:rPr/>
            </w:pPr>
            <w:r>
              <w:rPr>
                <w:spacing w:val="3"/>
              </w:rPr>
              <w:t>002159</w:t>
            </w:r>
          </w:p>
        </w:tc>
        <w:tc>
          <w:tcPr>
            <w:tcW w:w="1436" w:type="dxa"/>
            <w:vAlign w:val="top"/>
          </w:tcPr>
          <w:p>
            <w:pPr>
              <w:pStyle w:val="TableText"/>
              <w:ind w:left="299"/>
              <w:spacing w:before="271" w:line="189" w:lineRule="auto"/>
              <w:rPr/>
            </w:pPr>
            <w:r>
              <w:rPr>
                <w:spacing w:val="7"/>
              </w:rPr>
              <w:t>三特索道</w:t>
            </w:r>
          </w:p>
        </w:tc>
        <w:tc>
          <w:tcPr>
            <w:tcW w:w="1449" w:type="dxa"/>
            <w:vAlign w:val="top"/>
          </w:tcPr>
          <w:p>
            <w:pPr>
              <w:pStyle w:val="TableText"/>
              <w:ind w:left="409"/>
              <w:spacing w:before="271" w:line="189" w:lineRule="auto"/>
              <w:rPr/>
            </w:pPr>
            <w:r>
              <w:rPr>
                <w:spacing w:val="8"/>
              </w:rPr>
              <w:t>监管函</w:t>
            </w:r>
          </w:p>
        </w:tc>
        <w:tc>
          <w:tcPr>
            <w:tcW w:w="4398" w:type="dxa"/>
            <w:vAlign w:val="top"/>
          </w:tcPr>
          <w:p>
            <w:pPr>
              <w:pStyle w:val="TableText"/>
              <w:ind w:left="107" w:right="300" w:firstLine="3"/>
              <w:spacing w:before="90" w:line="219" w:lineRule="auto"/>
              <w:rPr/>
            </w:pPr>
            <w:r>
              <w:rPr>
                <w:spacing w:val="9"/>
              </w:rPr>
              <w:t>交易对手方未按照公开披露的信息履行</w:t>
            </w:r>
            <w:r>
              <w:rPr>
                <w:b/>
                <w:bCs/>
                <w:spacing w:val="9"/>
              </w:rPr>
              <w:t>业绩 </w:t>
            </w:r>
            <w:r>
              <w:rPr>
                <w:b/>
                <w:bCs/>
                <w:spacing w:val="7"/>
              </w:rPr>
              <w:t>补偿承诺。</w:t>
            </w:r>
          </w:p>
        </w:tc>
      </w:tr>
    </w:tbl>
    <w:p>
      <w:pPr>
        <w:pStyle w:val="BodyText"/>
        <w:spacing w:line="14" w:lineRule="auto"/>
        <w:rPr>
          <w:sz w:val="2"/>
        </w:rPr>
      </w:pPr>
      <w:r/>
    </w:p>
    <w:p>
      <w:pPr>
        <w:spacing w:line="14" w:lineRule="auto"/>
        <w:sectPr>
          <w:type w:val="continuous"/>
          <w:pgSz w:w="11910" w:h="16840"/>
          <w:pgMar w:top="9" w:right="59" w:bottom="0" w:left="12" w:header="0" w:footer="0" w:gutter="0"/>
          <w:cols w:equalWidth="0" w:num="1">
            <w:col w:w="11840" w:space="0"/>
          </w:cols>
        </w:sectPr>
        <w:rPr>
          <w:sz w:val="2"/>
          <w:szCs w:val="2"/>
        </w:rPr>
      </w:pPr>
    </w:p>
    <w:tbl>
      <w:tblPr>
        <w:tblStyle w:val="TableNormal"/>
        <w:tblW w:w="8706" w:type="dxa"/>
        <w:tblInd w:w="1060"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23"/>
        <w:gridCol w:w="1436"/>
        <w:gridCol w:w="1449"/>
        <w:gridCol w:w="4398"/>
      </w:tblGrid>
      <w:tr>
        <w:trPr>
          <w:trHeight w:val="1089" w:hRule="atLeast"/>
        </w:trPr>
        <w:tc>
          <w:tcPr>
            <w:shd w:val="clear" w:fill="C7DAF1"/>
            <w:tcW w:w="1423" w:type="dxa"/>
            <w:vAlign w:val="top"/>
          </w:tcPr>
          <w:p>
            <w:pPr>
              <w:spacing w:line="377" w:lineRule="auto"/>
              <w:rPr>
                <w:rFonts w:ascii="Arial"/>
                <w:sz w:val="21"/>
              </w:rPr>
            </w:pPr>
            <w:r/>
          </w:p>
          <w:p>
            <w:pPr>
              <w:pStyle w:val="TableText"/>
              <w:ind w:left="348"/>
              <w:spacing w:before="86" w:line="178" w:lineRule="auto"/>
              <w:rPr/>
            </w:pPr>
            <w:r>
              <w:rPr>
                <w:spacing w:val="3"/>
              </w:rPr>
              <w:t>002433</w:t>
            </w:r>
          </w:p>
        </w:tc>
        <w:tc>
          <w:tcPr>
            <w:shd w:val="clear" w:fill="C7DAF1"/>
            <w:tcW w:w="1436" w:type="dxa"/>
            <w:vAlign w:val="top"/>
          </w:tcPr>
          <w:p>
            <w:pPr>
              <w:spacing w:line="361" w:lineRule="auto"/>
              <w:rPr>
                <w:rFonts w:ascii="Arial"/>
                <w:sz w:val="21"/>
              </w:rPr>
            </w:pPr>
            <w:r/>
          </w:p>
          <w:p>
            <w:pPr>
              <w:pStyle w:val="TableText"/>
              <w:ind w:left="345"/>
              <w:spacing w:before="85" w:line="190" w:lineRule="auto"/>
              <w:rPr/>
            </w:pPr>
            <w:r>
              <w:rPr>
                <w:spacing w:val="8"/>
              </w:rPr>
              <w:t>*</w:t>
            </w:r>
            <w:r>
              <w:rPr/>
              <w:t>ST</w:t>
            </w:r>
            <w:r>
              <w:rPr>
                <w:spacing w:val="8"/>
              </w:rPr>
              <w:t>太安</w:t>
            </w:r>
          </w:p>
        </w:tc>
        <w:tc>
          <w:tcPr>
            <w:shd w:val="clear" w:fill="C7DAF1"/>
            <w:tcW w:w="1449" w:type="dxa"/>
            <w:vAlign w:val="top"/>
          </w:tcPr>
          <w:p>
            <w:pPr>
              <w:spacing w:line="362" w:lineRule="auto"/>
              <w:rPr>
                <w:rFonts w:ascii="Arial"/>
                <w:sz w:val="21"/>
              </w:rPr>
            </w:pPr>
            <w:r/>
          </w:p>
          <w:p>
            <w:pPr>
              <w:pStyle w:val="TableText"/>
              <w:ind w:left="409"/>
              <w:spacing w:before="86" w:line="189" w:lineRule="auto"/>
              <w:rPr/>
            </w:pPr>
            <w:r>
              <w:rPr>
                <w:spacing w:val="8"/>
              </w:rPr>
              <w:t>监管函</w:t>
            </w:r>
          </w:p>
        </w:tc>
        <w:tc>
          <w:tcPr>
            <w:shd w:val="clear" w:fill="C7DAF1"/>
            <w:tcW w:w="4398" w:type="dxa"/>
            <w:vAlign w:val="top"/>
          </w:tcPr>
          <w:p>
            <w:pPr>
              <w:pStyle w:val="TableText"/>
              <w:ind w:left="108" w:right="297"/>
              <w:spacing w:before="88" w:line="231" w:lineRule="auto"/>
              <w:jc w:val="both"/>
              <w:rPr/>
            </w:pPr>
            <w:r>
              <w:rPr>
                <w:spacing w:val="9"/>
              </w:rPr>
              <w:t>公司控股股东太安堂集团有限公司的一致行</w:t>
            </w:r>
            <w:r>
              <w:rPr>
                <w:spacing w:val="14"/>
              </w:rPr>
              <w:t xml:space="preserve"> </w:t>
            </w:r>
            <w:r>
              <w:rPr>
                <w:spacing w:val="6"/>
              </w:rPr>
              <w:t>动人， 在太安退被</w:t>
            </w:r>
            <w:r>
              <w:rPr>
                <w:b/>
                <w:bCs/>
                <w:spacing w:val="6"/>
              </w:rPr>
              <w:t>立案调查期间减持公司股</w:t>
            </w:r>
            <w:r>
              <w:rPr>
                <w:b/>
                <w:bCs/>
                <w:spacing w:val="5"/>
              </w:rPr>
              <w:t xml:space="preserve"> </w:t>
            </w:r>
            <w:r>
              <w:rPr>
                <w:b/>
                <w:bCs/>
                <w:spacing w:val="2"/>
              </w:rPr>
              <w:t>份</w:t>
            </w:r>
            <w:r>
              <w:rPr>
                <w:spacing w:val="2"/>
              </w:rPr>
              <w:t>。</w:t>
            </w:r>
          </w:p>
        </w:tc>
      </w:tr>
      <w:tr>
        <w:trPr>
          <w:trHeight w:val="723" w:hRule="atLeast"/>
        </w:trPr>
        <w:tc>
          <w:tcPr>
            <w:tcW w:w="1423" w:type="dxa"/>
            <w:vAlign w:val="top"/>
          </w:tcPr>
          <w:p>
            <w:pPr>
              <w:pStyle w:val="TableText"/>
              <w:ind w:left="348"/>
              <w:spacing w:before="279" w:line="179" w:lineRule="auto"/>
              <w:rPr/>
            </w:pPr>
            <w:r>
              <w:rPr>
                <w:spacing w:val="3"/>
              </w:rPr>
              <w:t>002514</w:t>
            </w:r>
          </w:p>
        </w:tc>
        <w:tc>
          <w:tcPr>
            <w:tcW w:w="1436" w:type="dxa"/>
            <w:vAlign w:val="top"/>
          </w:tcPr>
          <w:p>
            <w:pPr>
              <w:pStyle w:val="TableText"/>
              <w:ind w:left="298"/>
              <w:spacing w:before="266" w:line="189" w:lineRule="auto"/>
              <w:rPr/>
            </w:pPr>
            <w:r>
              <w:rPr>
                <w:spacing w:val="8"/>
              </w:rPr>
              <w:t>宝馨科技</w:t>
            </w:r>
          </w:p>
        </w:tc>
        <w:tc>
          <w:tcPr>
            <w:tcW w:w="1449" w:type="dxa"/>
            <w:vAlign w:val="top"/>
          </w:tcPr>
          <w:p>
            <w:pPr>
              <w:pStyle w:val="TableText"/>
              <w:ind w:left="304"/>
              <w:spacing w:before="267" w:line="188" w:lineRule="auto"/>
              <w:rPr/>
            </w:pPr>
            <w:r>
              <w:rPr>
                <w:spacing w:val="8"/>
              </w:rPr>
              <w:t>通报批评</w:t>
            </w:r>
          </w:p>
        </w:tc>
        <w:tc>
          <w:tcPr>
            <w:tcW w:w="4398" w:type="dxa"/>
            <w:vAlign w:val="top"/>
          </w:tcPr>
          <w:p>
            <w:pPr>
              <w:pStyle w:val="TableText"/>
              <w:ind w:left="108" w:right="228"/>
              <w:spacing w:before="49" w:line="232" w:lineRule="auto"/>
              <w:rPr/>
            </w:pPr>
            <w:r>
              <w:rPr>
                <w:spacing w:val="7"/>
              </w:rPr>
              <w:t>公司《</w:t>
            </w:r>
            <w:r>
              <w:rPr>
                <w:spacing w:val="-21"/>
              </w:rPr>
              <w:t xml:space="preserve"> </w:t>
            </w:r>
            <w:r>
              <w:rPr>
                <w:spacing w:val="7"/>
              </w:rPr>
              <w:t>2023年度</w:t>
            </w:r>
            <w:r>
              <w:rPr>
                <w:b/>
                <w:bCs/>
                <w:spacing w:val="7"/>
              </w:rPr>
              <w:t>业绩预告</w:t>
            </w:r>
            <w:r>
              <w:rPr>
                <w:spacing w:val="7"/>
              </w:rPr>
              <w:t>》披露的预计净利</w:t>
            </w:r>
            <w:r>
              <w:rPr/>
              <w:t xml:space="preserve"> </w:t>
            </w:r>
            <w:r>
              <w:rPr>
                <w:spacing w:val="8"/>
              </w:rPr>
              <w:t>润与经审计净利润差异较大。</w:t>
            </w:r>
          </w:p>
        </w:tc>
      </w:tr>
      <w:tr>
        <w:trPr>
          <w:trHeight w:val="729" w:hRule="atLeast"/>
        </w:trPr>
        <w:tc>
          <w:tcPr>
            <w:shd w:val="clear" w:fill="C7DAF1"/>
            <w:tcW w:w="1423" w:type="dxa"/>
            <w:vAlign w:val="top"/>
          </w:tcPr>
          <w:p>
            <w:pPr>
              <w:pStyle w:val="TableText"/>
              <w:ind w:left="348"/>
              <w:spacing w:before="285" w:line="178" w:lineRule="auto"/>
              <w:rPr/>
            </w:pPr>
            <w:r>
              <w:rPr>
                <w:spacing w:val="3"/>
              </w:rPr>
              <w:t>002229</w:t>
            </w:r>
          </w:p>
        </w:tc>
        <w:tc>
          <w:tcPr>
            <w:shd w:val="clear" w:fill="C7DAF1"/>
            <w:tcW w:w="1436" w:type="dxa"/>
            <w:vAlign w:val="top"/>
          </w:tcPr>
          <w:p>
            <w:pPr>
              <w:pStyle w:val="TableText"/>
              <w:ind w:left="297"/>
              <w:spacing w:before="270" w:line="189" w:lineRule="auto"/>
              <w:rPr/>
            </w:pPr>
            <w:r>
              <w:rPr>
                <w:spacing w:val="8"/>
              </w:rPr>
              <w:t>鸿博股份</w:t>
            </w:r>
          </w:p>
        </w:tc>
        <w:tc>
          <w:tcPr>
            <w:shd w:val="clear" w:fill="C7DAF1"/>
            <w:tcW w:w="1449" w:type="dxa"/>
            <w:vAlign w:val="top"/>
          </w:tcPr>
          <w:p>
            <w:pPr>
              <w:pStyle w:val="TableText"/>
              <w:ind w:left="304"/>
              <w:spacing w:before="271" w:line="188" w:lineRule="auto"/>
              <w:rPr/>
            </w:pPr>
            <w:r>
              <w:rPr>
                <w:spacing w:val="8"/>
              </w:rPr>
              <w:t>通报批评</w:t>
            </w:r>
          </w:p>
        </w:tc>
        <w:tc>
          <w:tcPr>
            <w:shd w:val="clear" w:fill="C7DAF1"/>
            <w:tcW w:w="4398" w:type="dxa"/>
            <w:vAlign w:val="top"/>
          </w:tcPr>
          <w:p>
            <w:pPr>
              <w:pStyle w:val="TableText"/>
              <w:ind w:left="108" w:right="225"/>
              <w:spacing w:before="89" w:line="220" w:lineRule="auto"/>
              <w:rPr/>
            </w:pPr>
            <w:r>
              <w:rPr>
                <w:spacing w:val="9"/>
              </w:rPr>
              <w:t>公司2023年度</w:t>
            </w:r>
            <w:r>
              <w:rPr>
                <w:b/>
                <w:bCs/>
                <w:spacing w:val="9"/>
              </w:rPr>
              <w:t>业绩预告</w:t>
            </w:r>
            <w:r>
              <w:rPr>
                <w:spacing w:val="9"/>
              </w:rPr>
              <w:t>净利润与经审计净利</w:t>
            </w:r>
            <w:r>
              <w:rPr/>
              <w:t xml:space="preserve"> </w:t>
            </w:r>
            <w:r>
              <w:rPr>
                <w:spacing w:val="8"/>
              </w:rPr>
              <w:t>润存在重大差异。</w:t>
            </w:r>
          </w:p>
        </w:tc>
      </w:tr>
    </w:tbl>
    <w:p>
      <w:pPr>
        <w:pStyle w:val="BodyText"/>
        <w:spacing w:line="369" w:lineRule="auto"/>
        <w:rPr/>
      </w:pPr>
      <w:r/>
    </w:p>
    <w:p>
      <w:pPr>
        <w:ind w:left="316"/>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4"/>
        </w:rPr>
        <w:t>（2） 问询函件</w:t>
      </w:r>
    </w:p>
    <w:p>
      <w:pPr>
        <w:ind w:left="492"/>
        <w:spacing w:before="151"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6"/>
        </w:rPr>
        <w:t>2024 年 8 月 5</w:t>
      </w:r>
      <w:r>
        <w:rPr>
          <w:rFonts w:ascii="Microsoft YaHei" w:hAnsi="Microsoft YaHei" w:eastAsia="Microsoft YaHei" w:cs="Microsoft YaHei"/>
          <w:sz w:val="24"/>
          <w:szCs w:val="24"/>
          <w:spacing w:val="26"/>
          <w:w w:val="101"/>
        </w:rPr>
        <w:t xml:space="preserve"> </w:t>
      </w:r>
      <w:r>
        <w:rPr>
          <w:rFonts w:ascii="Microsoft YaHei" w:hAnsi="Microsoft YaHei" w:eastAsia="Microsoft YaHei" w:cs="Microsoft YaHei"/>
          <w:sz w:val="24"/>
          <w:szCs w:val="24"/>
          <w:spacing w:val="-6"/>
        </w:rPr>
        <w:t>日-8 月 11</w:t>
      </w:r>
      <w:r>
        <w:rPr>
          <w:rFonts w:ascii="Microsoft YaHei" w:hAnsi="Microsoft YaHei" w:eastAsia="Microsoft YaHei" w:cs="Microsoft YaHei"/>
          <w:sz w:val="24"/>
          <w:szCs w:val="24"/>
          <w:spacing w:val="24"/>
        </w:rPr>
        <w:t xml:space="preserve"> </w:t>
      </w:r>
      <w:r>
        <w:rPr>
          <w:rFonts w:ascii="Microsoft YaHei" w:hAnsi="Microsoft YaHei" w:eastAsia="Microsoft YaHei" w:cs="Microsoft YaHei"/>
          <w:sz w:val="24"/>
          <w:szCs w:val="24"/>
          <w:spacing w:val="-6"/>
        </w:rPr>
        <w:t>日， 深交所官网未查询到问询</w:t>
      </w:r>
      <w:r>
        <w:rPr>
          <w:rFonts w:ascii="Microsoft YaHei" w:hAnsi="Microsoft YaHei" w:eastAsia="Microsoft YaHei" w:cs="Microsoft YaHei"/>
          <w:sz w:val="24"/>
          <w:szCs w:val="24"/>
          <w:spacing w:val="-7"/>
        </w:rPr>
        <w:t>函件。</w:t>
      </w:r>
    </w:p>
    <w:p>
      <w:pPr>
        <w:pStyle w:val="BodyText"/>
        <w:spacing w:line="272" w:lineRule="auto"/>
        <w:rPr/>
      </w:pPr>
      <w:r/>
    </w:p>
    <w:p>
      <w:pPr>
        <w:ind w:left="490"/>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rPr>
        <w:t>2、市场交易监管动态</w:t>
      </w:r>
    </w:p>
    <w:p>
      <w:pPr>
        <w:pStyle w:val="BodyText"/>
        <w:spacing w:line="274" w:lineRule="auto"/>
        <w:rPr/>
      </w:pPr>
      <w:r/>
    </w:p>
    <w:p>
      <w:pPr>
        <w:ind w:firstLine="492"/>
        <w:spacing w:before="103" w:line="35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6"/>
        </w:rPr>
        <w:t>2</w:t>
      </w:r>
      <w:r>
        <w:rPr>
          <w:rFonts w:ascii="Microsoft YaHei" w:hAnsi="Microsoft YaHei" w:eastAsia="Microsoft YaHei" w:cs="Microsoft YaHei"/>
          <w:sz w:val="24"/>
          <w:szCs w:val="24"/>
          <w:spacing w:val="-5"/>
        </w:rPr>
        <w:t>024 年 8 月 5</w:t>
      </w:r>
      <w:r>
        <w:rPr>
          <w:rFonts w:ascii="Microsoft YaHei" w:hAnsi="Microsoft YaHei" w:eastAsia="Microsoft YaHei" w:cs="Microsoft YaHei"/>
          <w:sz w:val="24"/>
          <w:szCs w:val="24"/>
          <w:spacing w:val="26"/>
        </w:rPr>
        <w:t xml:space="preserve"> </w:t>
      </w:r>
      <w:r>
        <w:rPr>
          <w:rFonts w:ascii="Microsoft YaHei" w:hAnsi="Microsoft YaHei" w:eastAsia="Microsoft YaHei" w:cs="Microsoft YaHei"/>
          <w:sz w:val="24"/>
          <w:szCs w:val="24"/>
          <w:spacing w:val="-5"/>
        </w:rPr>
        <w:t>日-8 月 11</w:t>
      </w:r>
      <w:r>
        <w:rPr>
          <w:rFonts w:ascii="Microsoft YaHei" w:hAnsi="Microsoft YaHei" w:eastAsia="Microsoft YaHei" w:cs="Microsoft YaHei"/>
          <w:sz w:val="24"/>
          <w:szCs w:val="24"/>
          <w:spacing w:val="26"/>
          <w:w w:val="101"/>
        </w:rPr>
        <w:t xml:space="preserve"> </w:t>
      </w:r>
      <w:r>
        <w:rPr>
          <w:rFonts w:ascii="Microsoft YaHei" w:hAnsi="Microsoft YaHei" w:eastAsia="Microsoft YaHei" w:cs="Microsoft YaHei"/>
          <w:sz w:val="24"/>
          <w:szCs w:val="24"/>
          <w:spacing w:val="-5"/>
        </w:rPr>
        <w:t>日， 深交所共对</w:t>
      </w:r>
      <w:r>
        <w:rPr>
          <w:rFonts w:ascii="Microsoft YaHei" w:hAnsi="Microsoft YaHei" w:eastAsia="Microsoft YaHei" w:cs="Microsoft YaHei"/>
          <w:sz w:val="24"/>
          <w:szCs w:val="24"/>
          <w:spacing w:val="16"/>
        </w:rPr>
        <w:t xml:space="preserve"> </w:t>
      </w:r>
      <w:r>
        <w:rPr>
          <w:rFonts w:ascii="Microsoft YaHei" w:hAnsi="Microsoft YaHei" w:eastAsia="Microsoft YaHei" w:cs="Microsoft YaHei"/>
          <w:sz w:val="24"/>
          <w:szCs w:val="24"/>
          <w:spacing w:val="-5"/>
        </w:rPr>
        <w:t>101 </w:t>
      </w:r>
      <w:r>
        <w:rPr>
          <w:rFonts w:ascii="Microsoft YaHei" w:hAnsi="Microsoft YaHei" w:eastAsia="Microsoft YaHei" w:cs="Microsoft YaHei"/>
          <w:sz w:val="24"/>
          <w:szCs w:val="24"/>
          <w:spacing w:val="-6"/>
        </w:rPr>
        <w:t>起证券异常交易行为采取了自律监管措施， 涉及</w:t>
      </w:r>
      <w:r>
        <w:rPr>
          <w:rFonts w:ascii="Microsoft YaHei" w:hAnsi="Microsoft YaHei" w:eastAsia="Microsoft YaHei" w:cs="Microsoft YaHei"/>
          <w:sz w:val="24"/>
          <w:szCs w:val="24"/>
          <w:spacing w:val="-5"/>
        </w:rPr>
        <w:t>盘</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1"/>
        </w:rPr>
        <w:t>中拉抬打压、虚假申报等异常交易情形； </w:t>
      </w:r>
      <w:r>
        <w:rPr>
          <w:rFonts w:ascii="Microsoft YaHei" w:hAnsi="Microsoft YaHei" w:eastAsia="Microsoft YaHei" w:cs="Microsoft YaHei"/>
          <w:sz w:val="24"/>
          <w:szCs w:val="24"/>
        </w:rPr>
        <w:t>共对 7 起上市公司重大事项进行核查， 并上报证监会</w:t>
      </w:r>
      <w:r>
        <w:rPr>
          <w:rFonts w:ascii="Microsoft YaHei" w:hAnsi="Microsoft YaHei" w:eastAsia="Microsoft YaHei" w:cs="Microsoft YaHei"/>
          <w:sz w:val="24"/>
          <w:szCs w:val="24"/>
          <w:spacing w:val="21"/>
          <w:w w:val="101"/>
        </w:rPr>
        <w:t xml:space="preserve"> </w:t>
      </w:r>
      <w:r>
        <w:rPr>
          <w:rFonts w:ascii="Microsoft YaHei" w:hAnsi="Microsoft YaHei" w:eastAsia="Microsoft YaHei" w:cs="Microsoft YaHei"/>
          <w:sz w:val="24"/>
          <w:szCs w:val="24"/>
        </w:rPr>
        <w:t>1 起涉 </w:t>
      </w:r>
      <w:r>
        <w:rPr>
          <w:rFonts w:ascii="Microsoft YaHei" w:hAnsi="Microsoft YaHei" w:eastAsia="Microsoft YaHei" w:cs="Microsoft YaHei"/>
          <w:sz w:val="24"/>
          <w:szCs w:val="24"/>
          <w:spacing w:val="-1"/>
        </w:rPr>
        <w:t>嫌违法违规案件线索。</w:t>
      </w:r>
    </w:p>
    <w:sectPr>
      <w:pgSz w:w="11910" w:h="16840"/>
      <w:pgMar w:top="400" w:right="639" w:bottom="0" w:left="44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7562850" cy="7441692"/>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62850" cy="7441692"/>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_x0000_s26" style="position:absolute;margin-left:120.654pt;margin-top:81.178pt;mso-position-vertical-relative:page;mso-position-horizontal-relative:page;width:13.8pt;height:17.7pt;z-index:251659264;" o:allowincell="f" filled="false" stroked="false" type="#_x0000_t202">
          <v:fill on="false"/>
          <v:stroke on="false"/>
          <v:path/>
          <v:imagedata o:title=""/>
          <o:lock v:ext="edit" aspectratio="false"/>
          <v:textbox inset="0mm,0mm,0mm,0mm">
            <w:txbxContent>
              <w:p>
                <w:pPr>
                  <w:ind w:left="20"/>
                  <w:spacing w:before="20" w:line="182"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rPr>
                  <w:t>管</w:t>
                </w:r>
              </w:p>
            </w:txbxContent>
          </v:textbox>
        </v:shape>
      </w:pict>
    </w: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jpeg"/><Relationship Id="rId8" Type="http://schemas.openxmlformats.org/officeDocument/2006/relationships/image" Target="media/image7.jpeg"/><Relationship Id="rId7" Type="http://schemas.openxmlformats.org/officeDocument/2006/relationships/image" Target="media/image6.jpeg"/><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media/image3.jpeg"/><Relationship Id="rId3" Type="http://schemas.openxmlformats.org/officeDocument/2006/relationships/image" Target="media/image2.jpeg"/><Relationship Id="rId20" Type="http://schemas.openxmlformats.org/officeDocument/2006/relationships/fontTable" Target="fontTable.xml"/><Relationship Id="rId2" Type="http://schemas.openxmlformats.org/officeDocument/2006/relationships/header" Target="header2.xml"/><Relationship Id="rId19" Type="http://schemas.openxmlformats.org/officeDocument/2006/relationships/styles" Target="styles.xml"/><Relationship Id="rId18" Type="http://schemas.openxmlformats.org/officeDocument/2006/relationships/settings" Target="settings.xml"/><Relationship Id="rId17" Type="http://schemas.openxmlformats.org/officeDocument/2006/relationships/image" Target="media/image15.jpeg"/><Relationship Id="rId16" Type="http://schemas.openxmlformats.org/officeDocument/2006/relationships/image" Target="media/image14.jpeg"/><Relationship Id="rId15" Type="http://schemas.openxmlformats.org/officeDocument/2006/relationships/image" Target="media/image13.jpeg"/><Relationship Id="rId14" Type="http://schemas.openxmlformats.org/officeDocument/2006/relationships/image" Target="media/image12.jpeg"/><Relationship Id="rId13" Type="http://schemas.openxmlformats.org/officeDocument/2006/relationships/image" Target="media/image11.jpeg"/><Relationship Id="rId12" Type="http://schemas.openxmlformats.org/officeDocument/2006/relationships/header" Target="header3.xml"/><Relationship Id="rId11" Type="http://schemas.openxmlformats.org/officeDocument/2006/relationships/image" Target="media/image10.jpeg"/><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2024-08-12T09:47:50Z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2024-09-02T11:52:19</vt:filetime>
  </property>
</Properties>
</file>