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1" w:lineRule="auto"/>
        <w:rPr/>
      </w:pPr>
      <w:r/>
    </w:p>
    <w:p>
      <w:pPr>
        <w:pStyle w:val="BodyText"/>
        <w:spacing w:line="261"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ind w:left="2592"/>
        <w:spacing w:before="356" w:line="216" w:lineRule="auto"/>
        <w:outlineLvl w:val="0"/>
        <w:rPr>
          <w:rFonts w:ascii="Microsoft YaHei" w:hAnsi="Microsoft YaHei" w:eastAsia="Microsoft YaHei" w:cs="Microsoft YaHei"/>
          <w:sz w:val="83"/>
          <w:szCs w:val="83"/>
        </w:rPr>
      </w:pPr>
      <w:r>
        <w:rPr>
          <w:rFonts w:ascii="Microsoft YaHei" w:hAnsi="Microsoft YaHei" w:eastAsia="Microsoft YaHei" w:cs="Microsoft YaHei"/>
          <w:sz w:val="83"/>
          <w:szCs w:val="83"/>
          <w:b/>
          <w:bCs/>
          <w:color w:val="FFFFFF"/>
          <w:spacing w:val="7"/>
        </w:rPr>
        <w:t>一周法规速递|监管动态</w:t>
      </w:r>
    </w:p>
    <w:p>
      <w:pPr>
        <w:ind w:left="5717"/>
        <w:spacing w:before="7"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1"/>
        </w:rPr>
        <w:t>2024年07月29日—2024年08月04日</w:t>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ind w:left="4586" w:right="3731" w:hanging="886"/>
        <w:spacing w:before="133" w:line="369" w:lineRule="auto"/>
        <w:rPr>
          <w:rFonts w:ascii="Microsoft YaHei" w:hAnsi="Microsoft YaHei" w:eastAsia="Microsoft YaHei" w:cs="Microsoft YaHei"/>
          <w:sz w:val="31"/>
          <w:szCs w:val="31"/>
        </w:rPr>
      </w:pPr>
      <w:r>
        <w:rPr>
          <w:rFonts w:ascii="Microsoft YaHei" w:hAnsi="Microsoft YaHei" w:eastAsia="Microsoft YaHei" w:cs="Microsoft YaHei"/>
          <w:sz w:val="31"/>
          <w:szCs w:val="31"/>
          <w:b/>
          <w:bCs/>
          <w:spacing w:val="9"/>
        </w:rPr>
        <w:t>深圳价值在线咨询顾问有限公司</w:t>
      </w:r>
      <w:r>
        <w:rPr>
          <w:rFonts w:ascii="Microsoft YaHei" w:hAnsi="Microsoft YaHei" w:eastAsia="Microsoft YaHei" w:cs="Microsoft YaHei"/>
          <w:sz w:val="31"/>
          <w:szCs w:val="31"/>
          <w:b/>
          <w:bCs/>
          <w:spacing w:val="11"/>
        </w:rPr>
        <w:t xml:space="preserve"> </w:t>
      </w:r>
      <w:r>
        <w:rPr>
          <w:rFonts w:ascii="Microsoft YaHei" w:hAnsi="Microsoft YaHei" w:eastAsia="Microsoft YaHei" w:cs="Microsoft YaHei"/>
          <w:sz w:val="31"/>
          <w:szCs w:val="31"/>
          <w:b/>
          <w:bCs/>
          <w:spacing w:val="5"/>
        </w:rPr>
        <w:t>2024年08月05日</w:t>
      </w:r>
    </w:p>
    <w:p>
      <w:pPr>
        <w:spacing w:line="369" w:lineRule="auto"/>
        <w:sectPr>
          <w:headerReference w:type="default" r:id="rId1"/>
          <w:pgSz w:w="11910" w:h="16840"/>
          <w:pgMar w:top="400" w:right="0" w:bottom="0" w:left="0" w:header="0" w:footer="0" w:gutter="0"/>
        </w:sectPr>
        <w:rPr>
          <w:rFonts w:ascii="Microsoft YaHei" w:hAnsi="Microsoft YaHei" w:eastAsia="Microsoft YaHei" w:cs="Microsoft YaHei"/>
          <w:sz w:val="31"/>
          <w:szCs w:val="31"/>
        </w:rPr>
      </w:pPr>
    </w:p>
    <w:p>
      <w:pPr>
        <w:rPr>
          <w:rFonts w:ascii="Microsoft YaHei" w:hAnsi="Microsoft YaHei" w:eastAsia="Microsoft YaHei" w:cs="Microsoft YaHei"/>
          <w:sz w:val="43"/>
          <w:szCs w:val="43"/>
        </w:rPr>
      </w:pPr>
      <w:r>
        <w:drawing>
          <wp:anchor distT="0" distB="0" distL="0" distR="0" simplePos="0" relativeHeight="251658240" behindDoc="1" locked="0" layoutInCell="1" allowOverlap="1">
            <wp:simplePos x="0" y="0"/>
            <wp:positionH relativeFrom="column">
              <wp:posOffset>803275</wp:posOffset>
            </wp:positionH>
            <wp:positionV relativeFrom="paragraph">
              <wp:posOffset>580923</wp:posOffset>
            </wp:positionV>
            <wp:extent cx="6674484" cy="34493"/>
            <wp:effectExtent l="0" t="0" r="0" b="0"/>
            <wp:wrapNone/>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6674484" cy="34493"/>
                    </a:xfrm>
                    <a:prstGeom prst="rect">
                      <a:avLst/>
                    </a:prstGeom>
                  </pic:spPr>
                </pic:pic>
              </a:graphicData>
            </a:graphic>
          </wp:anchor>
        </w:drawing>
      </w:r>
      <w:r>
        <w:rPr>
          <w:rFonts w:ascii="Microsoft YaHei" w:hAnsi="Microsoft YaHei" w:eastAsia="Microsoft YaHei" w:cs="Microsoft YaHei"/>
          <w:sz w:val="43"/>
          <w:szCs w:val="43"/>
          <w:position w:val="-39"/>
        </w:rPr>
        <w:drawing>
          <wp:inline distT="0" distB="0" distL="0" distR="0">
            <wp:extent cx="803148" cy="625475"/>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803148" cy="625475"/>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pStyle w:val="BodyText"/>
        <w:spacing w:line="246" w:lineRule="auto"/>
        <w:rPr/>
      </w:pPr>
      <w:r/>
    </w:p>
    <w:p>
      <w:pPr>
        <w:ind w:left="961"/>
        <w:spacing w:before="120" w:line="226"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0B0B0B"/>
          <w:spacing w:val="-7"/>
        </w:rPr>
        <w:t>1、关于征求《会计基础工作规范 （征求意见稿） 》意见的函</w:t>
      </w:r>
    </w:p>
    <w:p>
      <w:pPr>
        <w:ind w:left="660" w:right="558" w:firstLine="478"/>
        <w:spacing w:before="215" w:line="35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4"/>
        </w:rPr>
        <w:t>各省、</w:t>
      </w:r>
      <w:r>
        <w:rPr>
          <w:rFonts w:ascii="Microsoft YaHei" w:hAnsi="Microsoft YaHei" w:eastAsia="Microsoft YaHei" w:cs="Microsoft YaHei"/>
          <w:sz w:val="24"/>
          <w:szCs w:val="24"/>
          <w:color w:val="0B0B0B"/>
          <w:spacing w:val="-42"/>
        </w:rPr>
        <w:t xml:space="preserve"> </w:t>
      </w:r>
      <w:r>
        <w:rPr>
          <w:rFonts w:ascii="Microsoft YaHei" w:hAnsi="Microsoft YaHei" w:eastAsia="Microsoft YaHei" w:cs="Microsoft YaHei"/>
          <w:sz w:val="24"/>
          <w:szCs w:val="24"/>
          <w:color w:val="0B0B0B"/>
          <w:spacing w:val="-4"/>
        </w:rPr>
        <w:t>自治区、直辖市、计划单列市财政厅 （局</w:t>
      </w:r>
      <w:r>
        <w:rPr>
          <w:rFonts w:ascii="Microsoft YaHei" w:hAnsi="Microsoft YaHei" w:eastAsia="Microsoft YaHei" w:cs="Microsoft YaHei"/>
          <w:sz w:val="24"/>
          <w:szCs w:val="24"/>
          <w:color w:val="0B0B0B"/>
          <w:spacing w:val="-30"/>
        </w:rPr>
        <w:t>），</w:t>
      </w:r>
      <w:r>
        <w:rPr>
          <w:rFonts w:ascii="Microsoft YaHei" w:hAnsi="Microsoft YaHei" w:eastAsia="Microsoft YaHei" w:cs="Microsoft YaHei"/>
          <w:sz w:val="24"/>
          <w:szCs w:val="24"/>
          <w:color w:val="0B0B0B"/>
          <w:spacing w:val="-8"/>
        </w:rPr>
        <w:t xml:space="preserve"> </w:t>
      </w:r>
      <w:r>
        <w:rPr>
          <w:rFonts w:ascii="Microsoft YaHei" w:hAnsi="Microsoft YaHei" w:eastAsia="Microsoft YaHei" w:cs="Microsoft YaHei"/>
          <w:sz w:val="24"/>
          <w:szCs w:val="24"/>
          <w:color w:val="0B0B0B"/>
          <w:spacing w:val="-4"/>
        </w:rPr>
        <w:t>新疆生产建设兵团财政局</w:t>
      </w:r>
      <w:r>
        <w:rPr>
          <w:rFonts w:ascii="Microsoft YaHei" w:hAnsi="Microsoft YaHei" w:eastAsia="Microsoft YaHei" w:cs="Microsoft YaHei"/>
          <w:sz w:val="24"/>
          <w:szCs w:val="24"/>
          <w:color w:val="0B0B0B"/>
          <w:spacing w:val="-5"/>
        </w:rPr>
        <w:t>， 党中央有关部门</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6"/>
        </w:rPr>
        <w:t>办公厅 （室</w:t>
      </w:r>
      <w:r>
        <w:rPr>
          <w:rFonts w:ascii="Microsoft YaHei" w:hAnsi="Microsoft YaHei" w:eastAsia="Microsoft YaHei" w:cs="Microsoft YaHei"/>
          <w:sz w:val="24"/>
          <w:szCs w:val="24"/>
          <w:color w:val="0B0B0B"/>
          <w:spacing w:val="-30"/>
        </w:rPr>
        <w:t>），</w:t>
      </w:r>
      <w:r>
        <w:rPr>
          <w:rFonts w:ascii="Microsoft YaHei" w:hAnsi="Microsoft YaHei" w:eastAsia="Microsoft YaHei" w:cs="Microsoft YaHei"/>
          <w:sz w:val="24"/>
          <w:szCs w:val="24"/>
          <w:color w:val="0B0B0B"/>
          <w:spacing w:val="10"/>
        </w:rPr>
        <w:t xml:space="preserve"> </w:t>
      </w:r>
      <w:r>
        <w:rPr>
          <w:rFonts w:ascii="Microsoft YaHei" w:hAnsi="Microsoft YaHei" w:eastAsia="Microsoft YaHei" w:cs="Microsoft YaHei"/>
          <w:sz w:val="24"/>
          <w:szCs w:val="24"/>
          <w:color w:val="0B0B0B"/>
          <w:spacing w:val="-6"/>
        </w:rPr>
        <w:t>国务院各部委、各直属机构办公厅 （室</w:t>
      </w:r>
      <w:r>
        <w:rPr>
          <w:rFonts w:ascii="Microsoft YaHei" w:hAnsi="Microsoft YaHei" w:eastAsia="Microsoft YaHei" w:cs="Microsoft YaHei"/>
          <w:sz w:val="24"/>
          <w:szCs w:val="24"/>
          <w:color w:val="0B0B0B"/>
          <w:spacing w:val="-30"/>
        </w:rPr>
        <w:t>），</w:t>
      </w:r>
      <w:r>
        <w:rPr>
          <w:rFonts w:ascii="Microsoft YaHei" w:hAnsi="Microsoft YaHei" w:eastAsia="Microsoft YaHei" w:cs="Microsoft YaHei"/>
          <w:sz w:val="24"/>
          <w:szCs w:val="24"/>
          <w:color w:val="0B0B0B"/>
          <w:spacing w:val="8"/>
        </w:rPr>
        <w:t xml:space="preserve"> </w:t>
      </w:r>
      <w:r>
        <w:rPr>
          <w:rFonts w:ascii="Microsoft YaHei" w:hAnsi="Microsoft YaHei" w:eastAsia="Microsoft YaHei" w:cs="Microsoft YaHei"/>
          <w:sz w:val="24"/>
          <w:szCs w:val="24"/>
          <w:color w:val="0B0B0B"/>
          <w:spacing w:val="-6"/>
        </w:rPr>
        <w:t>中央军委后勤保障部财务局， 全国人大常</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6"/>
        </w:rPr>
        <w:t>委会办公厅秘书局， 全国政协办公厅秘书局， 最高人民法院办公厅， 最高人民检察院办公厅， 各民主</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7"/>
        </w:rPr>
        <w:t>党派中央办公厅 （室</w:t>
      </w:r>
      <w:r>
        <w:rPr>
          <w:rFonts w:ascii="Microsoft YaHei" w:hAnsi="Microsoft YaHei" w:eastAsia="Microsoft YaHei" w:cs="Microsoft YaHei"/>
          <w:sz w:val="24"/>
          <w:szCs w:val="24"/>
          <w:color w:val="0B0B0B"/>
          <w:spacing w:val="-29"/>
        </w:rPr>
        <w:t>），</w:t>
      </w:r>
      <w:r>
        <w:rPr>
          <w:rFonts w:ascii="Microsoft YaHei" w:hAnsi="Microsoft YaHei" w:eastAsia="Microsoft YaHei" w:cs="Microsoft YaHei"/>
          <w:sz w:val="24"/>
          <w:szCs w:val="24"/>
          <w:color w:val="0B0B0B"/>
          <w:spacing w:val="-5"/>
        </w:rPr>
        <w:t xml:space="preserve"> </w:t>
      </w:r>
      <w:r>
        <w:rPr>
          <w:rFonts w:ascii="Microsoft YaHei" w:hAnsi="Microsoft YaHei" w:eastAsia="Microsoft YaHei" w:cs="Microsoft YaHei"/>
          <w:sz w:val="24"/>
          <w:szCs w:val="24"/>
          <w:color w:val="0B0B0B"/>
          <w:spacing w:val="-7"/>
        </w:rPr>
        <w:t>财政部各地监管局， 有关人民团体办公厅 （室</w:t>
      </w:r>
      <w:r>
        <w:rPr>
          <w:rFonts w:ascii="Microsoft YaHei" w:hAnsi="Microsoft YaHei" w:eastAsia="Microsoft YaHei" w:cs="Microsoft YaHei"/>
          <w:sz w:val="24"/>
          <w:szCs w:val="24"/>
          <w:color w:val="0B0B0B"/>
          <w:spacing w:val="-29"/>
        </w:rPr>
        <w:t>），</w:t>
      </w:r>
      <w:r>
        <w:rPr>
          <w:rFonts w:ascii="Microsoft YaHei" w:hAnsi="Microsoft YaHei" w:eastAsia="Microsoft YaHei" w:cs="Microsoft YaHei"/>
          <w:sz w:val="24"/>
          <w:szCs w:val="24"/>
          <w:color w:val="0B0B0B"/>
          <w:spacing w:val="-9"/>
        </w:rPr>
        <w:t xml:space="preserve"> </w:t>
      </w:r>
      <w:r>
        <w:rPr>
          <w:rFonts w:ascii="Microsoft YaHei" w:hAnsi="Microsoft YaHei" w:eastAsia="Microsoft YaHei" w:cs="Microsoft YaHei"/>
          <w:sz w:val="24"/>
          <w:szCs w:val="24"/>
          <w:color w:val="0B0B0B"/>
          <w:spacing w:val="-7"/>
        </w:rPr>
        <w:t>有关中央企业， 有关单</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位：</w:t>
      </w:r>
    </w:p>
    <w:p>
      <w:pPr>
        <w:ind w:left="660" w:right="434" w:firstLine="485"/>
        <w:spacing w:before="104" w:line="347"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为贯彻落实党的二十大和二十届二中、三中全会精神以及党中央、国务院有关决策部署， 进一步</w:t>
      </w:r>
      <w:r>
        <w:rPr>
          <w:rFonts w:ascii="Microsoft YaHei" w:hAnsi="Microsoft YaHei" w:eastAsia="Microsoft YaHei" w:cs="Microsoft YaHei"/>
          <w:sz w:val="24"/>
          <w:szCs w:val="24"/>
          <w:color w:val="0B0B0B"/>
          <w:spacing w:val="1"/>
        </w:rPr>
        <w:t xml:space="preserve">   </w:t>
      </w:r>
      <w:r>
        <w:rPr>
          <w:rFonts w:ascii="Microsoft YaHei" w:hAnsi="Microsoft YaHei" w:eastAsia="Microsoft YaHei" w:cs="Microsoft YaHei"/>
          <w:sz w:val="24"/>
          <w:szCs w:val="24"/>
          <w:color w:val="0B0B0B"/>
          <w:spacing w:val="-3"/>
        </w:rPr>
        <w:t>规范会计基础工作， 提高会计工作水平和会计信息质量， 根据《中华人民</w:t>
      </w:r>
      <w:r>
        <w:rPr>
          <w:rFonts w:ascii="Microsoft YaHei" w:hAnsi="Microsoft YaHei" w:eastAsia="Microsoft YaHei" w:cs="Microsoft YaHei"/>
          <w:sz w:val="24"/>
          <w:szCs w:val="24"/>
          <w:color w:val="0B0B0B"/>
          <w:spacing w:val="-4"/>
        </w:rPr>
        <w:t>共和国会计法》等法律法</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5"/>
        </w:rPr>
        <w:t>规， 我们对《会计基础工作规范》 （通过财会字〔</w:t>
      </w:r>
      <w:r>
        <w:rPr>
          <w:rFonts w:ascii="Microsoft YaHei" w:hAnsi="Microsoft YaHei" w:eastAsia="Microsoft YaHei" w:cs="Microsoft YaHei"/>
          <w:sz w:val="24"/>
          <w:szCs w:val="24"/>
          <w:color w:val="0B0B0B"/>
          <w:spacing w:val="-22"/>
        </w:rPr>
        <w:t xml:space="preserve"> </w:t>
      </w:r>
      <w:r>
        <w:rPr>
          <w:rFonts w:ascii="Microsoft YaHei" w:hAnsi="Microsoft YaHei" w:eastAsia="Microsoft YaHei" w:cs="Microsoft YaHei"/>
          <w:sz w:val="24"/>
          <w:szCs w:val="24"/>
          <w:color w:val="0B0B0B"/>
          <w:spacing w:val="-5"/>
        </w:rPr>
        <w:t>1996〕</w:t>
      </w:r>
      <w:r>
        <w:rPr>
          <w:rFonts w:ascii="Microsoft YaHei" w:hAnsi="Microsoft YaHei" w:eastAsia="Microsoft YaHei" w:cs="Microsoft YaHei"/>
          <w:sz w:val="24"/>
          <w:szCs w:val="24"/>
          <w:color w:val="0B0B0B"/>
          <w:spacing w:val="-47"/>
        </w:rPr>
        <w:t xml:space="preserve"> </w:t>
      </w:r>
      <w:r>
        <w:rPr>
          <w:rFonts w:ascii="Microsoft YaHei" w:hAnsi="Microsoft YaHei" w:eastAsia="Microsoft YaHei" w:cs="Microsoft YaHei"/>
          <w:sz w:val="24"/>
          <w:szCs w:val="24"/>
          <w:color w:val="0B0B0B"/>
          <w:spacing w:val="-5"/>
        </w:rPr>
        <w:t>19号文件公布、财</w:t>
      </w:r>
      <w:r>
        <w:rPr>
          <w:rFonts w:ascii="Microsoft YaHei" w:hAnsi="Microsoft YaHei" w:eastAsia="Microsoft YaHei" w:cs="Microsoft YaHei"/>
          <w:sz w:val="24"/>
          <w:szCs w:val="24"/>
          <w:color w:val="0B0B0B"/>
          <w:spacing w:val="-6"/>
        </w:rPr>
        <w:t>政部令第98号文件修改）</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7"/>
        </w:rPr>
        <w:t>进行了修订， 形成《会计基础工作规范 （征求意见稿） 》。现转去， 请组织征求意见， 并于20</w:t>
      </w:r>
      <w:r>
        <w:rPr>
          <w:rFonts w:ascii="Microsoft YaHei" w:hAnsi="Microsoft YaHei" w:eastAsia="Microsoft YaHei" w:cs="Microsoft YaHei"/>
          <w:sz w:val="24"/>
          <w:szCs w:val="24"/>
          <w:color w:val="0B0B0B"/>
          <w:spacing w:val="-8"/>
        </w:rPr>
        <w:t>24年9</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月20日前将意见反馈至财政部会计司， 反馈意见材料中请注明反馈单位、联系人及联系方式。</w:t>
      </w:r>
    </w:p>
    <w:p>
      <w:pPr>
        <w:ind w:left="1154" w:right="6420" w:hanging="14"/>
        <w:spacing w:before="115"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3"/>
        </w:rPr>
        <w:t>联系电话： 010-68553030、68552550</w:t>
      </w:r>
      <w:r>
        <w:rPr>
          <w:rFonts w:ascii="Microsoft YaHei" w:hAnsi="Microsoft YaHei" w:eastAsia="Microsoft YaHei" w:cs="Microsoft YaHei"/>
          <w:sz w:val="24"/>
          <w:szCs w:val="24"/>
          <w:color w:val="0B0B0B"/>
          <w:spacing w:val="6"/>
        </w:rPr>
        <w:t xml:space="preserve"> </w:t>
      </w:r>
      <w:r>
        <w:rPr>
          <w:rFonts w:ascii="Microsoft YaHei" w:hAnsi="Microsoft YaHei" w:eastAsia="Microsoft YaHei" w:cs="Microsoft YaHei"/>
          <w:sz w:val="24"/>
          <w:szCs w:val="24"/>
          <w:color w:val="0B0B0B"/>
          <w:spacing w:val="-4"/>
        </w:rPr>
        <w:t>电子邮箱： kjszhc@mof.gov.cn</w:t>
      </w:r>
    </w:p>
    <w:p>
      <w:pPr>
        <w:ind w:left="1142"/>
        <w:spacing w:before="1"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3"/>
        </w:rPr>
        <w:t>通讯地址： 北京市西城区三里河南三巷3号100820</w:t>
      </w:r>
    </w:p>
    <w:p>
      <w:pPr>
        <w:ind w:left="9537" w:right="548" w:firstLine="254"/>
        <w:spacing w:before="302" w:line="361"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财政部办公厅</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2024年7月31日</w:t>
      </w:r>
    </w:p>
    <w:p>
      <w:pPr>
        <w:pStyle w:val="BodyText"/>
        <w:spacing w:line="257" w:lineRule="auto"/>
        <w:rPr/>
      </w:pPr>
      <w:r/>
    </w:p>
    <w:p>
      <w:pPr>
        <w:pStyle w:val="BodyText"/>
        <w:spacing w:line="257" w:lineRule="auto"/>
        <w:rPr/>
      </w:pPr>
      <w:r/>
    </w:p>
    <w:p>
      <w:pPr>
        <w:ind w:firstLine="4315"/>
        <w:spacing w:before="1" w:line="2911" w:lineRule="exact"/>
        <w:rPr/>
      </w:pPr>
      <w:r>
        <w:rPr>
          <w:position w:val="-58"/>
        </w:rPr>
        <w:drawing>
          <wp:inline distT="0" distB="0" distL="0" distR="0">
            <wp:extent cx="1944624" cy="1848611"/>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944624" cy="1848611"/>
                    </a:xfrm>
                    <a:prstGeom prst="rect">
                      <a:avLst/>
                    </a:prstGeom>
                  </pic:spPr>
                </pic:pic>
              </a:graphicData>
            </a:graphic>
          </wp:inline>
        </w:drawing>
      </w:r>
    </w:p>
    <w:p>
      <w:pPr>
        <w:pStyle w:val="BodyText"/>
        <w:spacing w:line="307" w:lineRule="auto"/>
        <w:rPr/>
      </w:pPr>
      <w:r/>
    </w:p>
    <w:p>
      <w:pPr>
        <w:ind w:left="2859"/>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spacing w:val="-6"/>
        </w:rPr>
        <w:t>关于征求《会计基础工作规范 （征求意见稿） 》意见的函</w:t>
      </w:r>
    </w:p>
    <w:p>
      <w:pPr>
        <w:spacing w:line="225" w:lineRule="auto"/>
        <w:sectPr>
          <w:headerReference w:type="default" r:id="rId2"/>
          <w:pgSz w:w="11910" w:h="16840"/>
          <w:pgMar w:top="10" w:right="134" w:bottom="0" w:left="0" w:header="0" w:footer="0" w:gutter="0"/>
        </w:sectPr>
        <w:rPr>
          <w:rFonts w:ascii="Microsoft YaHei" w:hAnsi="Microsoft YaHei" w:eastAsia="Microsoft YaHei" w:cs="Microsoft YaHei"/>
          <w:sz w:val="24"/>
          <w:szCs w:val="24"/>
        </w:rPr>
      </w:pPr>
    </w:p>
    <w:p>
      <w:pPr>
        <w:spacing w:line="1137" w:lineRule="exact"/>
        <w:rPr/>
      </w:pPr>
      <w:r>
        <w:rPr>
          <w:position w:val="-22"/>
        </w:rPr>
        <w:pict>
          <v:group id="_x0000_s2" style="mso-position-vertical-relative:line;mso-position-horizontal-relative:char;width:67.85pt;height:56.9pt;" filled="false" stroked="false" coordsize="1356,1138" coordorigin="0,0">
            <v:shape id="_x0000_s4" style="position:absolute;left:0;top:0;width:1356;height:1138;" fillcolor="#A61C1F" filled="true" stroked="false" coordsize="1356,1138" coordorigin="0,0" path="m,l1356,0l1356,1137l0,1137l0,0xe"/>
            <v:shape id="_x0000_s6" style="position:absolute;left:237;top:113;width:819;height:911;" fillcolor="#FFFFFF" filled="true" stroked="false" coordsize="819,911" coordorigin="0,0" path="m594,776l223,776l213,770l213,730l223,725l594,725l604,730l604,770l594,776xm582,707l237,707l225,698l225,687l213,635l180,583l136,532l88,480l45,423l12,361l0,297l0,290l5,237l22,187l50,143l84,105l127,72l176,46l230,25l287,10l347,2l409,0l470,2l530,10l587,25l641,46l690,72l733,105l736,108l366,108l358,116l358,125l354,148l353,151l233,151l202,175l190,185l177,195l172,200l172,208l177,215l207,242l210,245l210,248l202,258l196,268l190,280l185,290l185,291l183,291l182,293l170,293l124,297l116,302l116,370l124,375l136,376l182,381l183,381l185,382l185,385l190,395l196,405l202,415l210,425l210,428l200,437l192,445l177,460l172,465l172,473l177,480l225,516l233,521l353,521l356,538l358,548l358,558l366,565l648,565l637,577l604,630l592,687l592,698l582,707xm526,182l523,181l497,171l483,167l469,165l467,165l467,162l466,160l466,148l462,136l462,125l459,116l452,108l736,108l768,143l773,151l587,151l574,153l567,157l530,181l528,181l526,182xm293,182l292,181l290,181l280,175l270,170l262,163l252,157l243,153l233,151l353,151l352,160l352,162l350,165l348,165l334,167l322,171l307,176l294,181l293,182xm686,521l587,521l648,473l646,465l640,460l626,445l617,437l608,428l608,427l610,425l617,415l622,405l627,395l632,385l632,382l634,381l638,381l683,376l693,375l703,370l703,302l693,297l683,296l648,293l638,293l634,291l632,291l632,290l627,280l622,268l617,258l610,248l608,247l608,245l610,242l640,215l646,208l648,200l640,195l628,185l617,175l592,157l587,151l773,151l796,187l813,237l818,290l818,297l806,361l773,421l730,475l686,521xm410,447l354,438l308,415l278,380l267,336l278,295l308,260l354,235l410,227l464,235l509,260l539,295l550,336l539,380l509,415l464,438l410,447xm353,521l243,521l252,515l262,510l270,505l280,500l290,493l292,491l294,491l307,497l322,502l334,505l348,508l352,511l352,515l353,521xm648,565l452,565l459,558l462,548l462,538l466,525l466,513l467,511l467,510l469,508l497,502l510,497l523,491l528,491l530,493l539,500l548,505l557,510l567,515l574,521l686,521l681,526l648,565xm560,911l257,911l247,905l247,865l257,858l560,858l570,865l570,905l560,911xm582,845l235,845l227,838l227,796l235,790l582,790l592,796l592,838l582,845e"/>
          </v:group>
        </w:pict>
      </w:r>
    </w:p>
    <w:p>
      <w:pPr>
        <w:pStyle w:val="BodyText"/>
        <w:spacing w:line="14" w:lineRule="auto"/>
        <w:rPr>
          <w:sz w:val="2"/>
        </w:rPr>
      </w:pPr>
      <w:r>
        <w:rPr>
          <w:sz w:val="2"/>
          <w:szCs w:val="2"/>
        </w:rPr>
        <w:br w:type="column"/>
      </w:r>
    </w:p>
    <w:p>
      <w:pPr>
        <w:spacing w:before="305"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69" w:bottom="0" w:left="4" w:header="0" w:footer="0" w:gutter="0"/>
          <w:cols w:equalWidth="0" w:num="2">
            <w:col w:w="1499" w:space="100"/>
            <w:col w:w="10239" w:space="0"/>
          </w:cols>
        </w:sectPr>
        <w:rPr>
          <w:rFonts w:ascii="Microsoft YaHei" w:hAnsi="Microsoft YaHei" w:eastAsia="Microsoft YaHei" w:cs="Microsoft YaHei"/>
          <w:sz w:val="43"/>
          <w:szCs w:val="43"/>
        </w:rPr>
      </w:pPr>
    </w:p>
    <w:p>
      <w:pPr>
        <w:pStyle w:val="BodyText"/>
        <w:spacing w:line="424" w:lineRule="auto"/>
        <w:rPr/>
      </w:pPr>
      <w:r>
        <w:drawing>
          <wp:anchor distT="0" distB="0" distL="0" distR="0" simplePos="0" relativeHeight="251660288" behindDoc="0" locked="0" layoutInCell="1" allowOverlap="1">
            <wp:simplePos x="0" y="0"/>
            <wp:positionH relativeFrom="column">
              <wp:posOffset>840867</wp:posOffset>
            </wp:positionH>
            <wp:positionV relativeFrom="paragraph">
              <wp:posOffset>-34022</wp:posOffset>
            </wp:positionV>
            <wp:extent cx="6675119" cy="32244"/>
            <wp:effectExtent l="0" t="0" r="0" b="0"/>
            <wp:wrapNone/>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6675119" cy="32244"/>
                    </a:xfrm>
                    <a:prstGeom prst="rect">
                      <a:avLst/>
                    </a:prstGeom>
                  </pic:spPr>
                </pic:pic>
              </a:graphicData>
            </a:graphic>
          </wp:anchor>
        </w:drawing>
      </w:r>
      <w:r/>
    </w:p>
    <w:p>
      <w:pPr>
        <w:ind w:firstLine="16"/>
        <w:spacing w:line="924" w:lineRule="exact"/>
        <w:rPr/>
      </w:pPr>
      <w:r>
        <w:drawing>
          <wp:anchor distT="0" distB="0" distL="0" distR="0" simplePos="0" relativeHeight="251659264" behindDoc="0" locked="0" layoutInCell="1" allowOverlap="1">
            <wp:simplePos x="0" y="0"/>
            <wp:positionH relativeFrom="column">
              <wp:posOffset>36321</wp:posOffset>
            </wp:positionH>
            <wp:positionV relativeFrom="paragraph">
              <wp:posOffset>655438</wp:posOffset>
            </wp:positionV>
            <wp:extent cx="3677920" cy="5352732"/>
            <wp:effectExtent l="0" t="0" r="0" b="0"/>
            <wp:wrapNone/>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3677920" cy="5352732"/>
                    </a:xfrm>
                    <a:prstGeom prst="rect">
                      <a:avLst/>
                    </a:prstGeom>
                  </pic:spPr>
                </pic:pic>
              </a:graphicData>
            </a:graphic>
          </wp:anchor>
        </w:drawing>
      </w:r>
      <w:r>
        <w:rPr>
          <w:position w:val="-18"/>
        </w:rPr>
        <w:pict>
          <v:group id="_x0000_s8" style="mso-position-vertical-relative:line;mso-position-horizontal-relative:char;width:134.3pt;height:46.25pt;" filled="false" stroked="false" coordsize="2686,925" coordorigin="0,0">
            <v:shape id="_x0000_s10" style="position:absolute;left:0;top:0;width:2686;height:925;" filled="false" stroked="false" type="#_x0000_t75">
              <v:imagedata o:title="" r:id="rId8"/>
            </v:shape>
            <v:shape id="_x0000_s12" style="position:absolute;left:-20;top:-20;width:2726;height:965;" filled="false" stroked="false" type="#_x0000_t202">
              <v:fill on="false"/>
              <v:stroke on="false"/>
              <v:path/>
              <v:imagedata o:title=""/>
              <o:lock v:ext="edit" aspectratio="false"/>
              <v:textbox inset="0mm,0mm,0mm,0mm">
                <w:txbxContent>
                  <w:p>
                    <w:pPr>
                      <w:ind w:left="483"/>
                      <w:spacing w:before="246"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2"/>
                      </w:rPr>
                      <w:t>市场监管概览</w:t>
                    </w:r>
                  </w:p>
                </w:txbxContent>
              </v:textbox>
            </v:shape>
          </v:group>
        </w:pict>
      </w:r>
    </w:p>
    <w:p>
      <w:pPr>
        <w:ind w:left="6156" w:right="592" w:firstLine="488"/>
        <w:spacing w:before="214" w:line="35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2024年7月29日-8月4日， 证监会作出6份</w:t>
      </w:r>
      <w:r>
        <w:rPr>
          <w:rFonts w:ascii="Microsoft YaHei" w:hAnsi="Microsoft YaHei" w:eastAsia="Microsoft YaHei" w:cs="Microsoft YaHei"/>
          <w:sz w:val="24"/>
          <w:szCs w:val="24"/>
          <w:spacing w:val="15"/>
        </w:rPr>
        <w:t xml:space="preserve"> </w:t>
      </w:r>
      <w:r>
        <w:rPr>
          <w:rFonts w:ascii="Microsoft YaHei" w:hAnsi="Microsoft YaHei" w:eastAsia="Microsoft YaHei" w:cs="Microsoft YaHei"/>
          <w:sz w:val="24"/>
          <w:szCs w:val="24"/>
          <w:spacing w:val="-6"/>
        </w:rPr>
        <w:t>监管文书； 证监局作出27份监管文书； 上交所作</w:t>
      </w:r>
      <w:r>
        <w:rPr>
          <w:rFonts w:ascii="Microsoft YaHei" w:hAnsi="Microsoft YaHei" w:eastAsia="Microsoft YaHei" w:cs="Microsoft YaHei"/>
          <w:sz w:val="24"/>
          <w:szCs w:val="24"/>
          <w:spacing w:val="7"/>
        </w:rPr>
        <w:t xml:space="preserve"> </w:t>
      </w:r>
      <w:r>
        <w:rPr>
          <w:rFonts w:ascii="Microsoft YaHei" w:hAnsi="Microsoft YaHei" w:eastAsia="Microsoft YaHei" w:cs="Microsoft YaHei"/>
          <w:sz w:val="24"/>
          <w:szCs w:val="24"/>
          <w:spacing w:val="-4"/>
        </w:rPr>
        <w:t>出18份监管文书； 深交所作出24份监管文书。</w:t>
      </w:r>
    </w:p>
    <w:p>
      <w:pPr>
        <w:ind w:left="6153" w:right="592" w:firstLine="491"/>
        <w:spacing w:before="4" w:line="35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2024年7月29日-8月4日， 证监会作出1份</w:t>
      </w:r>
      <w:r>
        <w:rPr>
          <w:rFonts w:ascii="Microsoft YaHei" w:hAnsi="Microsoft YaHei" w:eastAsia="Microsoft YaHei" w:cs="Microsoft YaHei"/>
          <w:sz w:val="24"/>
          <w:szCs w:val="24"/>
          <w:spacing w:val="15"/>
        </w:rPr>
        <w:t xml:space="preserve"> </w:t>
      </w:r>
      <w:r>
        <w:rPr>
          <w:rFonts w:ascii="Microsoft YaHei" w:hAnsi="Microsoft YaHei" w:eastAsia="Microsoft YaHei" w:cs="Microsoft YaHei"/>
          <w:sz w:val="24"/>
          <w:szCs w:val="24"/>
        </w:rPr>
        <w:t>行政处罚决定书， 对5个对象立案调查； 证监局</w:t>
      </w:r>
      <w:r>
        <w:rPr>
          <w:rFonts w:ascii="Microsoft YaHei" w:hAnsi="Microsoft YaHei" w:eastAsia="Microsoft YaHei" w:cs="Microsoft YaHei"/>
          <w:sz w:val="24"/>
          <w:szCs w:val="24"/>
          <w:spacing w:val="6"/>
        </w:rPr>
        <w:t xml:space="preserve"> </w:t>
      </w:r>
      <w:r>
        <w:rPr>
          <w:rFonts w:ascii="Microsoft YaHei" w:hAnsi="Microsoft YaHei" w:eastAsia="Microsoft YaHei" w:cs="Microsoft YaHei"/>
          <w:sz w:val="24"/>
          <w:szCs w:val="24"/>
          <w:spacing w:val="-3"/>
        </w:rPr>
        <w:t>作出3份行政处罚决定书， 5份行政处罚事先告知</w:t>
      </w:r>
      <w:r>
        <w:rPr>
          <w:rFonts w:ascii="Microsoft YaHei" w:hAnsi="Microsoft YaHei" w:eastAsia="Microsoft YaHei" w:cs="Microsoft YaHei"/>
          <w:sz w:val="24"/>
          <w:szCs w:val="24"/>
          <w:spacing w:val="5"/>
        </w:rPr>
        <w:t xml:space="preserve"> </w:t>
      </w:r>
      <w:r>
        <w:rPr>
          <w:rFonts w:ascii="Microsoft YaHei" w:hAnsi="Microsoft YaHei" w:eastAsia="Microsoft YaHei" w:cs="Microsoft YaHei"/>
          <w:sz w:val="24"/>
          <w:szCs w:val="24"/>
          <w:spacing w:val="-5"/>
        </w:rPr>
        <w:t>书， 19份行政监管措施决定书。</w:t>
      </w:r>
    </w:p>
    <w:p>
      <w:pPr>
        <w:ind w:left="6117" w:right="500" w:firstLine="492"/>
        <w:spacing w:before="4" w:line="360"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2024年7月29日-8月4日， 上交所公司监</w:t>
      </w:r>
      <w:r>
        <w:rPr>
          <w:rFonts w:ascii="Microsoft YaHei" w:hAnsi="Microsoft YaHei" w:eastAsia="Microsoft YaHei" w:cs="Microsoft YaHei"/>
          <w:sz w:val="24"/>
          <w:szCs w:val="24"/>
          <w:spacing w:val="-4"/>
        </w:rPr>
        <w:t>管部</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7"/>
        </w:rPr>
        <w:t>门作出10份监管警示函， 对8宗行为予以纪律处</w:t>
      </w:r>
      <w:r>
        <w:rPr>
          <w:rFonts w:ascii="Microsoft YaHei" w:hAnsi="Microsoft YaHei" w:eastAsia="Microsoft YaHei" w:cs="Microsoft YaHei"/>
          <w:sz w:val="24"/>
          <w:szCs w:val="24"/>
          <w:spacing w:val="2"/>
        </w:rPr>
        <w:t xml:space="preserve"> </w:t>
      </w:r>
      <w:r>
        <w:rPr>
          <w:rFonts w:ascii="Microsoft YaHei" w:hAnsi="Microsoft YaHei" w:eastAsia="Microsoft YaHei" w:cs="Microsoft YaHei"/>
          <w:sz w:val="24"/>
          <w:szCs w:val="24"/>
          <w:spacing w:val="12"/>
        </w:rPr>
        <w:t>分</w:t>
      </w:r>
      <w:r>
        <w:rPr>
          <w:rFonts w:ascii="Microsoft YaHei" w:hAnsi="Microsoft YaHei" w:eastAsia="Microsoft YaHei" w:cs="Microsoft YaHei"/>
          <w:sz w:val="24"/>
          <w:szCs w:val="24"/>
          <w:spacing w:val="-19"/>
        </w:rPr>
        <w:t xml:space="preserve"> </w:t>
      </w:r>
      <w:r>
        <w:rPr>
          <w:rFonts w:ascii="Microsoft YaHei" w:hAnsi="Microsoft YaHei" w:eastAsia="Microsoft YaHei" w:cs="Microsoft YaHei"/>
          <w:sz w:val="24"/>
          <w:szCs w:val="24"/>
          <w:spacing w:val="12"/>
        </w:rPr>
        <w:t>。</w:t>
      </w:r>
      <w:r>
        <w:rPr>
          <w:rFonts w:ascii="Microsoft YaHei" w:hAnsi="Microsoft YaHei" w:eastAsia="Microsoft YaHei" w:cs="Microsoft YaHei"/>
          <w:sz w:val="24"/>
          <w:szCs w:val="24"/>
          <w:spacing w:val="-30"/>
        </w:rPr>
        <w:t xml:space="preserve"> </w:t>
      </w:r>
      <w:r>
        <w:rPr>
          <w:rFonts w:ascii="Microsoft YaHei" w:hAnsi="Microsoft YaHei" w:eastAsia="Microsoft YaHei" w:cs="Microsoft YaHei"/>
          <w:sz w:val="24"/>
          <w:szCs w:val="24"/>
          <w:spacing w:val="12"/>
        </w:rPr>
        <w:t>同时， 加大信息披露和股价异常的联动监</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管， 针对公司披露敏感信息或股价发生明显异常</w:t>
      </w:r>
      <w:r>
        <w:rPr>
          <w:rFonts w:ascii="Microsoft YaHei" w:hAnsi="Microsoft YaHei" w:eastAsia="Microsoft YaHei" w:cs="Microsoft YaHei"/>
          <w:sz w:val="24"/>
          <w:szCs w:val="24"/>
          <w:spacing w:val="17"/>
          <w:w w:val="101"/>
        </w:rPr>
        <w:t xml:space="preserve"> </w:t>
      </w:r>
      <w:r>
        <w:rPr>
          <w:rFonts w:ascii="Microsoft YaHei" w:hAnsi="Microsoft YaHei" w:eastAsia="Microsoft YaHei" w:cs="Microsoft YaHei"/>
          <w:sz w:val="24"/>
          <w:szCs w:val="24"/>
          <w:spacing w:val="-4"/>
        </w:rPr>
        <w:t>的， 提请启动内幕交易、异常交易核查7单。</w:t>
      </w:r>
    </w:p>
    <w:p>
      <w:pPr>
        <w:ind w:left="6120" w:right="592" w:firstLine="488"/>
        <w:spacing w:before="3" w:line="24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1"/>
        </w:rPr>
        <w:t>2024年7月29日-8月4日， 深交所发出15份</w:t>
      </w:r>
      <w:r>
        <w:rPr>
          <w:rFonts w:ascii="Microsoft YaHei" w:hAnsi="Microsoft YaHei" w:eastAsia="Microsoft YaHei" w:cs="Microsoft YaHei"/>
          <w:sz w:val="24"/>
          <w:szCs w:val="24"/>
          <w:spacing w:val="5"/>
        </w:rPr>
        <w:t xml:space="preserve"> </w:t>
      </w:r>
      <w:r>
        <w:rPr>
          <w:rFonts w:ascii="Microsoft YaHei" w:hAnsi="Microsoft YaHei" w:eastAsia="Microsoft YaHei" w:cs="Microsoft YaHei"/>
          <w:sz w:val="24"/>
          <w:szCs w:val="24"/>
          <w:spacing w:val="-6"/>
        </w:rPr>
        <w:t>监管函， 9份纪律处分措施。</w:t>
      </w:r>
    </w:p>
    <w:p>
      <w:pPr>
        <w:spacing w:line="249" w:lineRule="auto"/>
        <w:sectPr>
          <w:type w:val="continuous"/>
          <w:pgSz w:w="11910" w:h="16840"/>
          <w:pgMar w:top="9" w:right="69" w:bottom="0" w:left="4" w:header="0" w:footer="0" w:gutter="0"/>
          <w:cols w:equalWidth="0" w:num="1">
            <w:col w:w="11837" w:space="0"/>
          </w:cols>
        </w:sectPr>
        <w:rPr>
          <w:rFonts w:ascii="Microsoft YaHei" w:hAnsi="Microsoft YaHei" w:eastAsia="Microsoft YaHei" w:cs="Microsoft YaHei"/>
          <w:sz w:val="24"/>
          <w:szCs w:val="24"/>
        </w:rPr>
      </w:pPr>
    </w:p>
    <w:p>
      <w:pPr>
        <w:ind w:firstLine="14"/>
        <w:spacing w:line="1137" w:lineRule="exact"/>
        <w:rPr/>
      </w:pPr>
      <w:r>
        <w:rPr>
          <w:position w:val="-22"/>
        </w:rPr>
        <w:pict>
          <v:group id="_x0000_s14" style="mso-position-vertical-relative:line;mso-position-horizontal-relative:char;width:67.85pt;height:56.9pt;" filled="false" stroked="false" coordsize="1356,1138" coordorigin="0,0">
            <v:shape id="_x0000_s16" style="position:absolute;left:0;top:0;width:1356;height:1138;" fillcolor="#A61C1F" filled="true" stroked="false" coordsize="1356,1138" coordorigin="0,0" path="m,l1356,0l1356,1137l0,1137l0,0xe"/>
            <v:shape id="_x0000_s18"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59" w:bottom="0" w:left="0" w:header="0" w:footer="0" w:gutter="0"/>
          <w:cols w:equalWidth="0" w:num="2">
            <w:col w:w="1568" w:space="100"/>
            <w:col w:w="10184" w:space="0"/>
          </w:cols>
        </w:sectPr>
        <w:rPr>
          <w:rFonts w:ascii="Microsoft YaHei" w:hAnsi="Microsoft YaHei" w:eastAsia="Microsoft YaHei" w:cs="Microsoft YaHei"/>
          <w:sz w:val="43"/>
          <w:szCs w:val="43"/>
        </w:rPr>
      </w:pPr>
    </w:p>
    <w:p>
      <w:pPr>
        <w:pStyle w:val="BodyText"/>
        <w:spacing w:line="417" w:lineRule="auto"/>
        <w:rPr/>
      </w:pPr>
      <w:r>
        <w:drawing>
          <wp:anchor distT="0" distB="0" distL="0" distR="0" simplePos="0" relativeHeight="251661312" behindDoc="0" locked="0" layoutInCell="1" allowOverlap="1">
            <wp:simplePos x="0" y="0"/>
            <wp:positionH relativeFrom="column">
              <wp:posOffset>850265</wp:posOffset>
            </wp:positionH>
            <wp:positionV relativeFrom="paragraph">
              <wp:posOffset>-34658</wp:posOffset>
            </wp:positionV>
            <wp:extent cx="6675119" cy="32245"/>
            <wp:effectExtent l="0" t="0" r="0" b="0"/>
            <wp:wrapNone/>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6675119" cy="32245"/>
                    </a:xfrm>
                    <a:prstGeom prst="rect">
                      <a:avLst/>
                    </a:prstGeom>
                  </pic:spPr>
                </pic:pic>
              </a:graphicData>
            </a:graphic>
          </wp:anchor>
        </w:drawing>
      </w:r>
      <w:r/>
    </w:p>
    <w:p>
      <w:pPr>
        <w:spacing w:line="924" w:lineRule="exact"/>
        <w:rPr/>
      </w:pPr>
      <w:r>
        <w:rPr>
          <w:position w:val="-18"/>
        </w:rPr>
        <w:pict>
          <v:group id="_x0000_s20" style="mso-position-vertical-relative:line;mso-position-horizontal-relative:char;width:188.3pt;height:46.25pt;" filled="false" stroked="false" coordsize="3766,925" coordorigin="0,0">
            <v:shape id="_x0000_s22" style="position:absolute;left:0;top:0;width:3766;height:925;" filled="false" stroked="false" type="#_x0000_t75">
              <v:imagedata o:title="" r:id="rId10"/>
            </v:shape>
            <v:shape id="_x0000_s24" style="position:absolute;left:-20;top:-20;width:3806;height:965;" filled="false" stroked="false" type="#_x0000_t202">
              <v:fill on="false"/>
              <v:stroke on="false"/>
              <v:path/>
              <v:imagedata o:title=""/>
              <o:lock v:ext="edit" aspectratio="false"/>
              <v:textbox inset="0mm,0mm,0mm,0mm">
                <w:txbxContent>
                  <w:p>
                    <w:pPr>
                      <w:ind w:left="387"/>
                      <w:spacing w:before="299"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证监会证监局监管动态</w:t>
                    </w:r>
                  </w:p>
                </w:txbxContent>
              </v:textbox>
            </v:shape>
          </v:group>
        </w:pict>
      </w:r>
    </w:p>
    <w:p>
      <w:pPr>
        <w:pStyle w:val="BodyText"/>
        <w:spacing w:line="393" w:lineRule="auto"/>
        <w:rPr/>
      </w:pPr>
      <w:r/>
    </w:p>
    <w:p>
      <w:pPr>
        <w:ind w:left="443" w:right="582" w:firstLine="490"/>
        <w:spacing w:before="103" w:line="36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1"/>
        </w:rPr>
        <w:t>2024年7月29日-8月4日， 证监会作出1份行政处罚决定</w:t>
      </w:r>
      <w:r>
        <w:rPr>
          <w:rFonts w:ascii="Microsoft YaHei" w:hAnsi="Microsoft YaHei" w:eastAsia="Microsoft YaHei" w:cs="Microsoft YaHei"/>
          <w:sz w:val="24"/>
          <w:szCs w:val="24"/>
          <w:spacing w:val="-2"/>
        </w:rPr>
        <w:t>书， 对5个对象立案调查； 证监局作出3份</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行政处罚决定书， 5份行政处罚事先告知书， 19份行政监</w:t>
      </w:r>
      <w:r>
        <w:rPr>
          <w:rFonts w:ascii="Microsoft YaHei" w:hAnsi="Microsoft YaHei" w:eastAsia="Microsoft YaHei" w:cs="Microsoft YaHei"/>
          <w:sz w:val="24"/>
          <w:szCs w:val="24"/>
          <w:spacing w:val="-5"/>
        </w:rPr>
        <w:t>管措施决定书。</w:t>
      </w:r>
    </w:p>
    <w:p>
      <w:pPr>
        <w:ind w:left="757"/>
        <w:spacing w:before="26"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（1） 行政处罚决定书</w:t>
      </w:r>
    </w:p>
    <w:p>
      <w:pPr>
        <w:spacing w:line="185" w:lineRule="exact"/>
        <w:rPr/>
      </w:pPr>
      <w:r/>
    </w:p>
    <w:tbl>
      <w:tblPr>
        <w:tblStyle w:val="TableNormal"/>
        <w:tblW w:w="8705" w:type="dxa"/>
        <w:tblInd w:w="150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978"/>
        <w:gridCol w:w="1073"/>
        <w:gridCol w:w="6654"/>
      </w:tblGrid>
      <w:tr>
        <w:trPr>
          <w:trHeight w:val="765" w:hRule="atLeast"/>
        </w:trPr>
        <w:tc>
          <w:tcPr>
            <w:shd w:val="clear" w:fill="4F81BD"/>
            <w:tcW w:w="978" w:type="dxa"/>
            <w:vAlign w:val="top"/>
            <w:tcBorders>
              <w:bottom w:val="single" w:color="FFFFFF" w:sz="2" w:space="0"/>
            </w:tcBorders>
          </w:tcPr>
          <w:p>
            <w:pPr>
              <w:pStyle w:val="TableText"/>
              <w:ind w:left="376" w:right="170" w:hanging="209"/>
              <w:spacing w:before="108" w:line="226" w:lineRule="auto"/>
              <w:rPr/>
            </w:pPr>
            <w:r>
              <w:rPr>
                <w:b/>
                <w:bCs/>
                <w:color w:val="FFFFFF"/>
                <w:spacing w:val="8"/>
              </w:rPr>
              <w:t>公司代</w:t>
            </w:r>
            <w:r>
              <w:rPr>
                <w:b/>
                <w:bCs/>
                <w:color w:val="FFFFFF"/>
              </w:rPr>
              <w:t xml:space="preserve"> </w:t>
            </w:r>
            <w:r>
              <w:rPr>
                <w:b/>
                <w:bCs/>
                <w:color w:val="FFFFFF"/>
                <w:spacing w:val="6"/>
              </w:rPr>
              <w:t>码</w:t>
            </w:r>
          </w:p>
        </w:tc>
        <w:tc>
          <w:tcPr>
            <w:shd w:val="clear" w:fill="4F81BD"/>
            <w:tcW w:w="1073" w:type="dxa"/>
            <w:vAlign w:val="top"/>
            <w:tcBorders>
              <w:bottom w:val="single" w:color="FFFFFF" w:sz="2" w:space="0"/>
            </w:tcBorders>
          </w:tcPr>
          <w:p>
            <w:pPr>
              <w:pStyle w:val="TableText"/>
              <w:ind w:left="108"/>
              <w:spacing w:before="299" w:line="189" w:lineRule="auto"/>
              <w:rPr/>
            </w:pPr>
            <w:r>
              <w:rPr>
                <w:b/>
                <w:bCs/>
                <w:color w:val="FFFFFF"/>
                <w:spacing w:val="8"/>
              </w:rPr>
              <w:t>公司简称</w:t>
            </w:r>
          </w:p>
        </w:tc>
        <w:tc>
          <w:tcPr>
            <w:shd w:val="clear" w:fill="4F81BD"/>
            <w:tcW w:w="6654" w:type="dxa"/>
            <w:vAlign w:val="top"/>
            <w:tcBorders>
              <w:bottom w:val="single" w:color="FFFFFF" w:sz="2" w:space="0"/>
            </w:tcBorders>
          </w:tcPr>
          <w:p>
            <w:pPr>
              <w:pStyle w:val="TableText"/>
              <w:ind w:left="2898"/>
              <w:spacing w:before="299" w:line="189" w:lineRule="auto"/>
              <w:rPr/>
            </w:pPr>
            <w:r>
              <w:rPr>
                <w:b/>
                <w:bCs/>
                <w:color w:val="FFFFFF"/>
                <w:spacing w:val="8"/>
              </w:rPr>
              <w:t>违规行为</w:t>
            </w:r>
          </w:p>
        </w:tc>
      </w:tr>
      <w:tr>
        <w:trPr>
          <w:trHeight w:val="1089" w:hRule="atLeast"/>
        </w:trPr>
        <w:tc>
          <w:tcPr>
            <w:shd w:val="clear" w:fill="B8CCE4"/>
            <w:tcW w:w="978" w:type="dxa"/>
            <w:vAlign w:val="top"/>
            <w:tcBorders>
              <w:top w:val="single" w:color="FFFFFF" w:sz="2" w:space="0"/>
            </w:tcBorders>
          </w:tcPr>
          <w:p>
            <w:pPr>
              <w:spacing w:line="371" w:lineRule="auto"/>
              <w:rPr>
                <w:rFonts w:ascii="Arial"/>
                <w:sz w:val="21"/>
              </w:rPr>
            </w:pPr>
            <w:r/>
          </w:p>
          <w:p>
            <w:pPr>
              <w:pStyle w:val="TableText"/>
              <w:ind w:left="119"/>
              <w:spacing w:before="85" w:line="179" w:lineRule="auto"/>
              <w:rPr/>
            </w:pPr>
            <w:r>
              <w:rPr>
                <w:spacing w:val="3"/>
              </w:rPr>
              <w:t>002581</w:t>
            </w:r>
          </w:p>
        </w:tc>
        <w:tc>
          <w:tcPr>
            <w:shd w:val="clear" w:fill="B8CCE4"/>
            <w:tcW w:w="1073" w:type="dxa"/>
            <w:vAlign w:val="top"/>
            <w:tcBorders>
              <w:top w:val="single" w:color="FFFFFF" w:sz="2" w:space="0"/>
            </w:tcBorders>
          </w:tcPr>
          <w:p>
            <w:pPr>
              <w:spacing w:line="357" w:lineRule="auto"/>
              <w:rPr>
                <w:rFonts w:ascii="Arial"/>
                <w:sz w:val="21"/>
              </w:rPr>
            </w:pPr>
            <w:r/>
          </w:p>
          <w:p>
            <w:pPr>
              <w:pStyle w:val="TableText"/>
              <w:ind w:left="107"/>
              <w:spacing w:before="86" w:line="189" w:lineRule="auto"/>
              <w:rPr/>
            </w:pPr>
            <w:r>
              <w:rPr>
                <w:spacing w:val="8"/>
              </w:rPr>
              <w:t>未名医药</w:t>
            </w:r>
          </w:p>
        </w:tc>
        <w:tc>
          <w:tcPr>
            <w:shd w:val="clear" w:fill="B8CCE4"/>
            <w:tcW w:w="6654" w:type="dxa"/>
            <w:vAlign w:val="top"/>
            <w:tcBorders>
              <w:top w:val="single" w:color="FFFFFF" w:sz="2" w:space="0"/>
            </w:tcBorders>
          </w:tcPr>
          <w:p>
            <w:pPr>
              <w:pStyle w:val="TableText"/>
              <w:ind w:left="99"/>
              <w:spacing w:before="87" w:line="190" w:lineRule="auto"/>
              <w:rPr/>
            </w:pPr>
            <w:r>
              <w:rPr>
                <w:spacing w:val="7"/>
              </w:rPr>
              <w:t>未按规定披露</w:t>
            </w:r>
            <w:r>
              <w:rPr>
                <w:b/>
                <w:bCs/>
                <w:spacing w:val="7"/>
              </w:rPr>
              <w:t>关联方及非经营性关联交易， </w:t>
            </w:r>
            <w:r>
              <w:rPr>
                <w:spacing w:val="6"/>
              </w:rPr>
              <w:t>2018年半年度报告、</w:t>
            </w:r>
          </w:p>
          <w:p>
            <w:pPr>
              <w:pStyle w:val="TableText"/>
              <w:ind w:left="100" w:right="308" w:firstLine="9"/>
              <w:spacing w:before="88" w:line="221" w:lineRule="auto"/>
              <w:rPr/>
            </w:pPr>
            <w:r>
              <w:rPr>
                <w:spacing w:val="6"/>
              </w:rPr>
              <w:t>2018年年度报告、</w:t>
            </w:r>
            <w:r>
              <w:rPr>
                <w:spacing w:val="-36"/>
              </w:rPr>
              <w:t xml:space="preserve"> </w:t>
            </w:r>
            <w:r>
              <w:rPr>
                <w:spacing w:val="6"/>
              </w:rPr>
              <w:t>2019年半年度报告存在重大遗漏； 未</w:t>
            </w:r>
            <w:r>
              <w:rPr>
                <w:spacing w:val="5"/>
              </w:rPr>
              <w:t>按规定及时</w:t>
            </w:r>
            <w:r>
              <w:rPr/>
              <w:t xml:space="preserve"> </w:t>
            </w:r>
            <w:r>
              <w:rPr>
                <w:spacing w:val="9"/>
              </w:rPr>
              <w:t>披露</w:t>
            </w:r>
            <w:r>
              <w:rPr>
                <w:b/>
                <w:bCs/>
                <w:spacing w:val="9"/>
              </w:rPr>
              <w:t>重要合同及合同履行的重大进展</w:t>
            </w:r>
            <w:r>
              <w:rPr>
                <w:spacing w:val="9"/>
              </w:rPr>
              <w:t>。</w:t>
            </w:r>
          </w:p>
        </w:tc>
      </w:tr>
      <w:tr>
        <w:trPr>
          <w:trHeight w:val="7199" w:hRule="atLeast"/>
        </w:trPr>
        <w:tc>
          <w:tcPr>
            <w:tcW w:w="8705" w:type="dxa"/>
            <w:vAlign w:val="top"/>
            <w:gridSpan w:val="3"/>
          </w:tcPr>
          <w:p>
            <w:pPr>
              <w:pStyle w:val="TableText"/>
              <w:ind w:left="123"/>
              <w:spacing w:before="39" w:line="237" w:lineRule="auto"/>
              <w:rPr/>
            </w:pPr>
            <w:r>
              <w:rPr>
                <w:b/>
                <w:bCs/>
                <w:spacing w:val="7"/>
              </w:rPr>
              <w:t>【行政处罚决定】</w:t>
            </w:r>
            <w:r>
              <w:rPr>
                <w:b/>
                <w:bCs/>
                <w:spacing w:val="-26"/>
              </w:rPr>
              <w:t xml:space="preserve"> </w:t>
            </w:r>
            <w:r>
              <w:rPr>
                <w:spacing w:val="7"/>
              </w:rPr>
              <w:t>中国证券监督管理委员会决定：</w:t>
            </w:r>
          </w:p>
          <w:p>
            <w:pPr>
              <w:pStyle w:val="TableText"/>
              <w:ind w:left="125"/>
              <w:spacing w:before="64" w:line="189" w:lineRule="auto"/>
              <w:rPr/>
            </w:pPr>
            <w:r>
              <w:rPr>
                <w:spacing w:val="5"/>
              </w:rPr>
              <w:t>1、对山东未名生物医药股份有限公司责令改正， 给予警告， 并处以310万元罚款。</w:t>
            </w:r>
          </w:p>
          <w:p>
            <w:pPr>
              <w:pStyle w:val="TableText"/>
              <w:ind w:left="115"/>
              <w:spacing w:before="89" w:line="189" w:lineRule="auto"/>
              <w:rPr/>
            </w:pPr>
            <w:r>
              <w:rPr>
                <w:spacing w:val="5"/>
              </w:rPr>
              <w:t>2、对实际控制人， 时任董事长潘某华给予警告， 并处以24</w:t>
            </w:r>
            <w:r>
              <w:rPr>
                <w:spacing w:val="4"/>
              </w:rPr>
              <w:t>0万元罚款。</w:t>
            </w:r>
          </w:p>
          <w:p>
            <w:pPr>
              <w:pStyle w:val="TableText"/>
              <w:ind w:left="118"/>
              <w:spacing w:before="90" w:line="189" w:lineRule="auto"/>
              <w:rPr/>
            </w:pPr>
            <w:r>
              <w:rPr>
                <w:spacing w:val="6"/>
              </w:rPr>
              <w:t>3、对时任董事罗某顺给予警告， 并处以</w:t>
            </w:r>
            <w:r>
              <w:rPr>
                <w:spacing w:val="5"/>
              </w:rPr>
              <w:t>140万元罚款。</w:t>
            </w:r>
          </w:p>
          <w:p>
            <w:pPr>
              <w:pStyle w:val="TableText"/>
              <w:ind w:left="105"/>
              <w:spacing w:before="89" w:line="189" w:lineRule="auto"/>
              <w:rPr/>
            </w:pPr>
            <w:r>
              <w:rPr>
                <w:spacing w:val="6"/>
              </w:rPr>
              <w:t>4、对时任董事杨某敏给予警告， 并处以120万元罚款。</w:t>
            </w:r>
          </w:p>
          <w:p>
            <w:pPr>
              <w:pStyle w:val="TableText"/>
              <w:ind w:left="121"/>
              <w:spacing w:before="90" w:line="189" w:lineRule="auto"/>
              <w:rPr/>
            </w:pPr>
            <w:r>
              <w:rPr>
                <w:spacing w:val="5"/>
              </w:rPr>
              <w:t>5、对时任董秘赵某给予警告， 并处以30万元罚款。</w:t>
            </w:r>
          </w:p>
          <w:p>
            <w:pPr>
              <w:pStyle w:val="TableText"/>
              <w:ind w:left="107" w:right="148" w:firstLine="7"/>
              <w:spacing w:before="88" w:line="221" w:lineRule="auto"/>
              <w:rPr/>
            </w:pPr>
            <w:r>
              <w:rPr>
                <w:spacing w:val="11"/>
              </w:rPr>
              <w:t>6、对时任监事赵某蓉、</w:t>
            </w:r>
            <w:r>
              <w:rPr>
                <w:spacing w:val="-36"/>
              </w:rPr>
              <w:t xml:space="preserve"> </w:t>
            </w:r>
            <w:r>
              <w:rPr>
                <w:spacing w:val="11"/>
              </w:rPr>
              <w:t>时任总经理丁某国、</w:t>
            </w:r>
            <w:r>
              <w:rPr>
                <w:spacing w:val="-37"/>
              </w:rPr>
              <w:t xml:space="preserve"> </w:t>
            </w:r>
            <w:r>
              <w:rPr>
                <w:spacing w:val="11"/>
              </w:rPr>
              <w:t>时任董事徐某然、</w:t>
            </w:r>
            <w:r>
              <w:rPr>
                <w:spacing w:val="-37"/>
              </w:rPr>
              <w:t xml:space="preserve"> </w:t>
            </w:r>
            <w:r>
              <w:rPr>
                <w:spacing w:val="11"/>
              </w:rPr>
              <w:t>时任董事张某诺给予警告，</w:t>
            </w:r>
            <w:r>
              <w:rPr/>
              <w:t xml:space="preserve"> </w:t>
            </w:r>
            <w:r>
              <w:rPr>
                <w:spacing w:val="7"/>
              </w:rPr>
              <w:t>并分别处以20万元罚款。</w:t>
            </w:r>
          </w:p>
          <w:p>
            <w:pPr>
              <w:pStyle w:val="TableText"/>
              <w:ind w:left="114"/>
              <w:spacing w:before="88" w:line="190" w:lineRule="auto"/>
              <w:rPr/>
            </w:pPr>
            <w:r>
              <w:rPr>
                <w:spacing w:val="6"/>
              </w:rPr>
              <w:t>7、对时任财务总监赖某博给予警告， 并处以10万元罚款。</w:t>
            </w:r>
          </w:p>
          <w:p>
            <w:pPr>
              <w:pStyle w:val="TableText"/>
              <w:ind w:left="113"/>
              <w:spacing w:before="88" w:line="190" w:lineRule="auto"/>
              <w:rPr/>
            </w:pPr>
            <w:r>
              <w:rPr>
                <w:spacing w:val="6"/>
              </w:rPr>
              <w:t>8、对时任财务总监方某给予警告， 并处以5万元罚款。</w:t>
            </w:r>
          </w:p>
          <w:p>
            <w:pPr>
              <w:pStyle w:val="TableText"/>
              <w:ind w:left="105" w:right="102"/>
              <w:spacing w:before="90" w:line="242" w:lineRule="auto"/>
              <w:jc w:val="both"/>
              <w:rPr/>
            </w:pPr>
            <w:r>
              <w:rPr>
                <w:spacing w:val="9"/>
              </w:rPr>
              <w:t>鉴于实际控制人， 时任董事长潘某华违法情节较为严重，</w:t>
            </w:r>
            <w:r>
              <w:rPr>
                <w:spacing w:val="8"/>
              </w:rPr>
              <w:t xml:space="preserve"> 时任董事罗某顺、时任董事杨某敏</w:t>
            </w:r>
            <w:r>
              <w:rPr/>
              <w:t xml:space="preserve"> </w:t>
            </w:r>
            <w:r>
              <w:rPr>
                <w:spacing w:val="8"/>
              </w:rPr>
              <w:t>违法情节严重， 依据2005年《证券法》第二百三十三条、《证券法》第二百二十一条和《证</w:t>
            </w:r>
            <w:r>
              <w:rPr>
                <w:spacing w:val="5"/>
              </w:rPr>
              <w:t xml:space="preserve"> </w:t>
            </w:r>
            <w:r>
              <w:rPr>
                <w:spacing w:val="8"/>
              </w:rPr>
              <w:t>券市场禁入规定》 （证监会令第115号） 第三条第一项、第二项、第五条， 《证券市场禁入</w:t>
            </w:r>
            <w:r>
              <w:rPr/>
              <w:t xml:space="preserve"> </w:t>
            </w:r>
            <w:r>
              <w:rPr>
                <w:spacing w:val="12"/>
              </w:rPr>
              <w:t>规定》</w:t>
            </w:r>
            <w:r>
              <w:rPr>
                <w:spacing w:val="35"/>
              </w:rPr>
              <w:t xml:space="preserve"> </w:t>
            </w:r>
            <w:r>
              <w:rPr>
                <w:spacing w:val="12"/>
              </w:rPr>
              <w:t>（证监会令第185号） 第三条第一项、第七条的规定，</w:t>
            </w:r>
            <w:r>
              <w:rPr>
                <w:spacing w:val="24"/>
              </w:rPr>
              <w:t xml:space="preserve"> </w:t>
            </w:r>
            <w:r>
              <w:rPr>
                <w:spacing w:val="12"/>
              </w:rPr>
              <w:t>中国证券监督管理委员会决</w:t>
            </w:r>
            <w:r>
              <w:rPr/>
              <w:t xml:space="preserve"> </w:t>
            </w:r>
            <w:r>
              <w:rPr>
                <w:spacing w:val="3"/>
              </w:rPr>
              <w:t>定：</w:t>
            </w:r>
          </w:p>
          <w:p>
            <w:pPr>
              <w:pStyle w:val="TableText"/>
              <w:ind w:left="105" w:right="102"/>
              <w:spacing w:before="67" w:line="239" w:lineRule="auto"/>
              <w:jc w:val="both"/>
              <w:rPr/>
            </w:pPr>
            <w:r>
              <w:rPr>
                <w:spacing w:val="8"/>
              </w:rPr>
              <w:t>对实际控制人， 时任董事长潘某华采取10年证券</w:t>
            </w:r>
            <w:r>
              <w:rPr>
                <w:spacing w:val="7"/>
              </w:rPr>
              <w:t>市场禁入措施， 对时任董事罗某顺、时任董</w:t>
            </w:r>
            <w:r>
              <w:rPr/>
              <w:t xml:space="preserve"> </w:t>
            </w:r>
            <w:r>
              <w:rPr>
                <w:spacing w:val="10"/>
              </w:rPr>
              <w:t>事杨某敏分别采取5年证券市场禁入措施，</w:t>
            </w:r>
            <w:r>
              <w:rPr>
                <w:spacing w:val="33"/>
              </w:rPr>
              <w:t xml:space="preserve"> </w:t>
            </w:r>
            <w:r>
              <w:rPr>
                <w:spacing w:val="10"/>
              </w:rPr>
              <w:t>自中国证券监督管理委员会宣布决定之日起， 在</w:t>
            </w:r>
            <w:r>
              <w:rPr/>
              <w:t xml:space="preserve"> </w:t>
            </w:r>
            <w:r>
              <w:rPr>
                <w:spacing w:val="15"/>
              </w:rPr>
              <w:t>禁入期间内， 除不得继续在原机构从事证券业务或者担任原上市公司、</w:t>
            </w:r>
            <w:r>
              <w:rPr>
                <w:spacing w:val="-38"/>
              </w:rPr>
              <w:t xml:space="preserve"> </w:t>
            </w:r>
            <w:r>
              <w:rPr>
                <w:spacing w:val="15"/>
              </w:rPr>
              <w:t>非上市公众公司董</w:t>
            </w:r>
            <w:r>
              <w:rPr/>
              <w:t xml:space="preserve"> </w:t>
            </w:r>
            <w:r>
              <w:rPr>
                <w:spacing w:val="10"/>
              </w:rPr>
              <w:t>事、监事、高级管理人员职务外， 也不得在其他任何机构中从事证券业务或者担任其他上市</w:t>
            </w:r>
            <w:r>
              <w:rPr>
                <w:spacing w:val="11"/>
              </w:rPr>
              <w:t xml:space="preserve"> </w:t>
            </w:r>
            <w:r>
              <w:rPr>
                <w:spacing w:val="9"/>
              </w:rPr>
              <w:t>公司、非上市公众公司董事、监事、高级管理人员职务。</w:t>
            </w:r>
          </w:p>
        </w:tc>
      </w:tr>
      <w:tr>
        <w:trPr>
          <w:trHeight w:val="364" w:hRule="atLeast"/>
        </w:trPr>
        <w:tc>
          <w:tcPr>
            <w:shd w:val="clear" w:fill="B8CCE4"/>
            <w:tcW w:w="978" w:type="dxa"/>
            <w:vAlign w:val="top"/>
          </w:tcPr>
          <w:p>
            <w:pPr>
              <w:pStyle w:val="TableText"/>
              <w:ind w:left="125"/>
              <w:spacing w:before="106" w:line="173" w:lineRule="auto"/>
              <w:rPr/>
            </w:pPr>
            <w:r>
              <w:rPr>
                <w:spacing w:val="3"/>
              </w:rPr>
              <w:t>300300</w:t>
            </w:r>
          </w:p>
        </w:tc>
        <w:tc>
          <w:tcPr>
            <w:shd w:val="clear" w:fill="B8CCE4"/>
            <w:tcW w:w="1073" w:type="dxa"/>
            <w:vAlign w:val="top"/>
          </w:tcPr>
          <w:p>
            <w:pPr>
              <w:pStyle w:val="TableText"/>
              <w:ind w:left="206"/>
              <w:spacing w:before="95" w:line="181" w:lineRule="auto"/>
              <w:rPr/>
            </w:pPr>
            <w:r>
              <w:rPr/>
              <w:t>ST</w:t>
            </w:r>
            <w:r>
              <w:rPr>
                <w:spacing w:val="7"/>
              </w:rPr>
              <w:t>峡创</w:t>
            </w:r>
          </w:p>
        </w:tc>
        <w:tc>
          <w:tcPr>
            <w:shd w:val="clear" w:fill="B8CCE4"/>
            <w:tcW w:w="6654" w:type="dxa"/>
            <w:vAlign w:val="top"/>
          </w:tcPr>
          <w:p>
            <w:pPr>
              <w:pStyle w:val="TableText"/>
              <w:ind w:left="109"/>
              <w:spacing w:before="92" w:line="183" w:lineRule="auto"/>
              <w:rPr/>
            </w:pPr>
            <w:r>
              <w:rPr>
                <w:spacing w:val="6"/>
              </w:rPr>
              <w:t>2018年年报、</w:t>
            </w:r>
            <w:r>
              <w:rPr>
                <w:spacing w:val="-27"/>
              </w:rPr>
              <w:t xml:space="preserve"> </w:t>
            </w:r>
            <w:r>
              <w:rPr>
                <w:spacing w:val="6"/>
              </w:rPr>
              <w:t>2019年半年报存在</w:t>
            </w:r>
            <w:r>
              <w:rPr>
                <w:b/>
                <w:bCs/>
                <w:spacing w:val="6"/>
              </w:rPr>
              <w:t>虚假记载</w:t>
            </w:r>
            <w:r>
              <w:rPr>
                <w:spacing w:val="6"/>
              </w:rPr>
              <w:t>。</w:t>
            </w:r>
          </w:p>
        </w:tc>
      </w:tr>
      <w:tr>
        <w:trPr>
          <w:trHeight w:val="725" w:hRule="atLeast"/>
        </w:trPr>
        <w:tc>
          <w:tcPr>
            <w:tcW w:w="8705" w:type="dxa"/>
            <w:vAlign w:val="top"/>
            <w:gridSpan w:val="3"/>
          </w:tcPr>
          <w:p>
            <w:pPr>
              <w:pStyle w:val="TableText"/>
              <w:ind w:left="109" w:right="102" w:firstLine="14"/>
              <w:spacing w:before="51" w:line="232" w:lineRule="auto"/>
              <w:rPr/>
            </w:pPr>
            <w:r>
              <w:rPr>
                <w:b/>
                <w:bCs/>
                <w:spacing w:val="9"/>
              </w:rPr>
              <w:t>【行政处罚决定】</w:t>
            </w:r>
            <w:r>
              <w:rPr>
                <w:b/>
                <w:bCs/>
                <w:spacing w:val="-25"/>
              </w:rPr>
              <w:t xml:space="preserve"> </w:t>
            </w:r>
            <w:r>
              <w:rPr>
                <w:spacing w:val="9"/>
              </w:rPr>
              <w:t>中国证券监督管理委员会浙江监管局决定： 对海峡创新互联网股份有限公</w:t>
            </w:r>
            <w:r>
              <w:rPr/>
              <w:t xml:space="preserve"> </w:t>
            </w:r>
            <w:r>
              <w:rPr>
                <w:spacing w:val="2"/>
              </w:rPr>
              <w:t>司责令改正， 给予警告， 并处以60万元罚款。</w:t>
            </w:r>
          </w:p>
        </w:tc>
      </w:tr>
      <w:tr>
        <w:trPr>
          <w:trHeight w:val="364" w:hRule="atLeast"/>
        </w:trPr>
        <w:tc>
          <w:tcPr>
            <w:shd w:val="clear" w:fill="B8CCE4"/>
            <w:tcW w:w="978" w:type="dxa"/>
            <w:vAlign w:val="top"/>
          </w:tcPr>
          <w:p>
            <w:pPr>
              <w:pStyle w:val="TableText"/>
              <w:ind w:left="125"/>
              <w:spacing w:before="108" w:line="172" w:lineRule="auto"/>
              <w:rPr/>
            </w:pPr>
            <w:r>
              <w:rPr>
                <w:spacing w:val="3"/>
              </w:rPr>
              <w:t>300630</w:t>
            </w:r>
          </w:p>
        </w:tc>
        <w:tc>
          <w:tcPr>
            <w:shd w:val="clear" w:fill="B8CCE4"/>
            <w:tcW w:w="1073" w:type="dxa"/>
            <w:vAlign w:val="top"/>
          </w:tcPr>
          <w:p>
            <w:pPr>
              <w:pStyle w:val="TableText"/>
              <w:ind w:left="109"/>
              <w:spacing w:before="93" w:line="182" w:lineRule="auto"/>
              <w:rPr/>
            </w:pPr>
            <w:r>
              <w:rPr>
                <w:spacing w:val="8"/>
              </w:rPr>
              <w:t>普利制药</w:t>
            </w:r>
          </w:p>
        </w:tc>
        <w:tc>
          <w:tcPr>
            <w:shd w:val="clear" w:fill="B8CCE4"/>
            <w:tcW w:w="6654" w:type="dxa"/>
            <w:vAlign w:val="top"/>
          </w:tcPr>
          <w:p>
            <w:pPr>
              <w:pStyle w:val="TableText"/>
              <w:ind w:left="102"/>
              <w:spacing w:before="93" w:line="182" w:lineRule="auto"/>
              <w:rPr/>
            </w:pPr>
            <w:r>
              <w:rPr>
                <w:spacing w:val="8"/>
              </w:rPr>
              <w:t>普利制药未按期披露2023年</w:t>
            </w:r>
            <w:r>
              <w:rPr>
                <w:b/>
                <w:bCs/>
                <w:spacing w:val="8"/>
              </w:rPr>
              <w:t>年度报告</w:t>
            </w:r>
            <w:r>
              <w:rPr>
                <w:spacing w:val="8"/>
              </w:rPr>
              <w:t>。</w:t>
            </w:r>
          </w:p>
        </w:tc>
      </w:tr>
      <w:tr>
        <w:trPr>
          <w:trHeight w:val="1092" w:hRule="atLeast"/>
        </w:trPr>
        <w:tc>
          <w:tcPr>
            <w:tcW w:w="8705" w:type="dxa"/>
            <w:vAlign w:val="top"/>
            <w:gridSpan w:val="3"/>
          </w:tcPr>
          <w:p>
            <w:pPr>
              <w:pStyle w:val="TableText"/>
              <w:ind w:left="123"/>
              <w:spacing w:before="53" w:line="237" w:lineRule="auto"/>
              <w:rPr/>
            </w:pPr>
            <w:r>
              <w:rPr>
                <w:b/>
                <w:bCs/>
                <w:spacing w:val="7"/>
              </w:rPr>
              <w:t>【行政处罚决定】</w:t>
            </w:r>
            <w:r>
              <w:rPr>
                <w:b/>
                <w:bCs/>
                <w:spacing w:val="-12"/>
              </w:rPr>
              <w:t xml:space="preserve"> </w:t>
            </w:r>
            <w:r>
              <w:rPr>
                <w:spacing w:val="7"/>
              </w:rPr>
              <w:t>中国证券监督管理委员会海南监管局决定：</w:t>
            </w:r>
          </w:p>
          <w:p>
            <w:pPr>
              <w:pStyle w:val="TableText"/>
              <w:ind w:left="125"/>
              <w:spacing w:before="63" w:line="190" w:lineRule="auto"/>
              <w:rPr/>
            </w:pPr>
            <w:r>
              <w:rPr>
                <w:spacing w:val="6"/>
              </w:rPr>
              <w:t>1、对海南普利制药股份有限公司给予警告， 并处以100万元罚款。</w:t>
            </w:r>
          </w:p>
          <w:p>
            <w:pPr>
              <w:pStyle w:val="TableText"/>
              <w:ind w:left="115"/>
              <w:spacing w:before="89" w:line="186" w:lineRule="auto"/>
              <w:rPr/>
            </w:pPr>
            <w:r>
              <w:rPr>
                <w:spacing w:val="7"/>
              </w:rPr>
              <w:t>2、对时任普利制药董事长、总经理范某华给予警告， 并处以40</w:t>
            </w:r>
            <w:r>
              <w:rPr>
                <w:spacing w:val="6"/>
              </w:rPr>
              <w:t>万元罚款。</w:t>
            </w:r>
          </w:p>
        </w:tc>
      </w:tr>
    </w:tbl>
    <w:p>
      <w:pPr>
        <w:pStyle w:val="BodyText"/>
        <w:spacing w:line="14" w:lineRule="auto"/>
        <w:rPr>
          <w:sz w:val="2"/>
        </w:rPr>
      </w:pPr>
      <w:r/>
    </w:p>
    <w:p>
      <w:pPr>
        <w:spacing w:line="14" w:lineRule="auto"/>
        <w:sectPr>
          <w:type w:val="continuous"/>
          <w:pgSz w:w="11910" w:h="16840"/>
          <w:pgMar w:top="9" w:right="59" w:bottom="0" w:left="0" w:header="0" w:footer="0" w:gutter="0"/>
          <w:cols w:equalWidth="0" w:num="1">
            <w:col w:w="11851" w:space="0"/>
          </w:cols>
        </w:sectPr>
        <w:rPr>
          <w:sz w:val="2"/>
          <w:szCs w:val="2"/>
        </w:rPr>
      </w:pPr>
    </w:p>
    <w:tbl>
      <w:tblPr>
        <w:tblStyle w:val="TableNormal"/>
        <w:tblW w:w="8705" w:type="dxa"/>
        <w:tblInd w:w="74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978"/>
        <w:gridCol w:w="1073"/>
        <w:gridCol w:w="6654"/>
      </w:tblGrid>
      <w:tr>
        <w:trPr>
          <w:trHeight w:val="381" w:hRule="atLeast"/>
        </w:trPr>
        <w:tc>
          <w:tcPr>
            <w:tcW w:w="8705" w:type="dxa"/>
            <w:vAlign w:val="top"/>
            <w:gridSpan w:val="3"/>
            <w:tcBorders>
              <w:top w:val="single" w:color="FFFFFF" w:sz="2" w:space="0"/>
            </w:tcBorders>
          </w:tcPr>
          <w:p>
            <w:pPr>
              <w:pStyle w:val="TableText"/>
              <w:ind w:left="118"/>
              <w:spacing w:before="100" w:line="189" w:lineRule="auto"/>
              <w:rPr/>
            </w:pPr>
            <w:r>
              <w:rPr>
                <w:spacing w:val="7"/>
              </w:rPr>
              <w:t>3、对时任普利制药董事、副总经理、财务总监罗某凝给予警告， 并处以30万元罚款。</w:t>
            </w:r>
          </w:p>
        </w:tc>
      </w:tr>
      <w:tr>
        <w:trPr>
          <w:trHeight w:val="720" w:hRule="atLeast"/>
        </w:trPr>
        <w:tc>
          <w:tcPr>
            <w:shd w:val="clear" w:fill="B8CCE4"/>
            <w:tcW w:w="978" w:type="dxa"/>
            <w:vAlign w:val="top"/>
          </w:tcPr>
          <w:p>
            <w:pPr>
              <w:pStyle w:val="TableText"/>
              <w:ind w:left="125"/>
              <w:spacing w:before="100" w:line="178" w:lineRule="auto"/>
              <w:rPr/>
            </w:pPr>
            <w:r>
              <w:rPr>
                <w:spacing w:val="3"/>
              </w:rPr>
              <w:t>300868</w:t>
            </w:r>
          </w:p>
          <w:p>
            <w:pPr>
              <w:pStyle w:val="TableText"/>
              <w:ind w:left="119"/>
              <w:spacing w:before="104" w:line="175" w:lineRule="auto"/>
              <w:rPr/>
            </w:pPr>
            <w:r>
              <w:rPr>
                <w:spacing w:val="3"/>
              </w:rPr>
              <w:t>002301</w:t>
            </w:r>
          </w:p>
        </w:tc>
        <w:tc>
          <w:tcPr>
            <w:shd w:val="clear" w:fill="B8CCE4"/>
            <w:tcW w:w="1073" w:type="dxa"/>
            <w:vAlign w:val="top"/>
          </w:tcPr>
          <w:p>
            <w:pPr>
              <w:pStyle w:val="TableText"/>
              <w:ind w:left="110" w:right="115" w:firstLine="100"/>
              <w:spacing w:before="83" w:line="219" w:lineRule="auto"/>
              <w:rPr/>
            </w:pPr>
            <w:r>
              <w:rPr>
                <w:spacing w:val="8"/>
              </w:rPr>
              <w:t>杰美特</w:t>
            </w:r>
            <w:r>
              <w:rPr/>
              <w:t xml:space="preserve">   </w:t>
            </w:r>
            <w:r>
              <w:rPr>
                <w:spacing w:val="8"/>
              </w:rPr>
              <w:t>齐心集团</w:t>
            </w:r>
          </w:p>
        </w:tc>
        <w:tc>
          <w:tcPr>
            <w:shd w:val="clear" w:fill="B8CCE4"/>
            <w:tcW w:w="6654" w:type="dxa"/>
            <w:vAlign w:val="top"/>
          </w:tcPr>
          <w:p>
            <w:pPr>
              <w:pStyle w:val="TableText"/>
              <w:ind w:left="111" w:right="244" w:hanging="3"/>
              <w:spacing w:before="83" w:line="219" w:lineRule="auto"/>
              <w:rPr/>
            </w:pPr>
            <w:r>
              <w:rPr>
                <w:spacing w:val="9"/>
              </w:rPr>
              <w:t>时任独立董事</w:t>
            </w:r>
            <w:r>
              <w:rPr>
                <w:b/>
                <w:bCs/>
                <w:spacing w:val="9"/>
              </w:rPr>
              <w:t>短线交易</w:t>
            </w:r>
            <w:r>
              <w:rPr>
                <w:spacing w:val="9"/>
              </w:rPr>
              <w:t>深圳市杰美特科技股份有限公司、深圳齐心集</w:t>
            </w:r>
            <w:r>
              <w:rPr>
                <w:spacing w:val="15"/>
              </w:rPr>
              <w:t xml:space="preserve"> </w:t>
            </w:r>
            <w:r>
              <w:rPr>
                <w:spacing w:val="7"/>
              </w:rPr>
              <w:t>团股份有限公司股票。</w:t>
            </w:r>
          </w:p>
        </w:tc>
      </w:tr>
      <w:tr>
        <w:trPr>
          <w:trHeight w:val="729" w:hRule="atLeast"/>
        </w:trPr>
        <w:tc>
          <w:tcPr>
            <w:tcW w:w="8705" w:type="dxa"/>
            <w:vAlign w:val="top"/>
            <w:gridSpan w:val="3"/>
          </w:tcPr>
          <w:p>
            <w:pPr>
              <w:pStyle w:val="TableText"/>
              <w:ind w:left="118" w:right="104" w:firstLine="5"/>
              <w:spacing w:before="46" w:line="235" w:lineRule="auto"/>
              <w:rPr/>
            </w:pPr>
            <w:r>
              <w:rPr>
                <w:b/>
                <w:bCs/>
                <w:spacing w:val="17"/>
              </w:rPr>
              <w:t>【行政处罚决定】 </w:t>
            </w:r>
            <w:r>
              <w:rPr>
                <w:spacing w:val="17"/>
              </w:rPr>
              <w:t>中国证券监督管理委员会西藏监管局决</w:t>
            </w:r>
            <w:r>
              <w:rPr>
                <w:spacing w:val="16"/>
              </w:rPr>
              <w:t>定： 对钱某给予警告， 并处以</w:t>
            </w:r>
            <w:r>
              <w:rPr/>
              <w:t xml:space="preserve"> </w:t>
            </w:r>
            <w:r>
              <w:rPr>
                <w:spacing w:val="4"/>
              </w:rPr>
              <w:t>300,000元的罚款。</w:t>
            </w:r>
          </w:p>
        </w:tc>
      </w:tr>
    </w:tbl>
    <w:p>
      <w:pPr>
        <w:pStyle w:val="BodyText"/>
        <w:spacing w:line="395" w:lineRule="auto"/>
        <w:rPr/>
      </w:pPr>
      <w:r/>
    </w:p>
    <w:p>
      <w:pPr>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8"/>
        </w:rPr>
        <w:t>（2） 行政处罚决定事先告知书</w:t>
      </w:r>
    </w:p>
    <w:p>
      <w:pPr>
        <w:spacing w:line="173" w:lineRule="exact"/>
        <w:rPr/>
      </w:pPr>
      <w:r/>
    </w:p>
    <w:tbl>
      <w:tblPr>
        <w:tblStyle w:val="TableNormal"/>
        <w:tblW w:w="8873" w:type="dxa"/>
        <w:tblInd w:w="660"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980"/>
        <w:gridCol w:w="1343"/>
        <w:gridCol w:w="6550"/>
      </w:tblGrid>
      <w:tr>
        <w:trPr>
          <w:trHeight w:val="765" w:hRule="atLeast"/>
        </w:trPr>
        <w:tc>
          <w:tcPr>
            <w:shd w:val="clear" w:fill="4F81BD"/>
            <w:tcW w:w="980" w:type="dxa"/>
            <w:vAlign w:val="top"/>
            <w:tcBorders>
              <w:bottom w:val="single" w:color="FFFFFF" w:sz="2" w:space="0"/>
            </w:tcBorders>
          </w:tcPr>
          <w:p>
            <w:pPr>
              <w:pStyle w:val="TableText"/>
              <w:ind w:left="376" w:right="170" w:hanging="207"/>
              <w:spacing w:before="108" w:line="226" w:lineRule="auto"/>
              <w:rPr/>
            </w:pPr>
            <w:r>
              <w:rPr>
                <w:b/>
                <w:bCs/>
                <w:color w:val="FFFFFF"/>
                <w:spacing w:val="8"/>
              </w:rPr>
              <w:t>公司代</w:t>
            </w:r>
            <w:r>
              <w:rPr>
                <w:b/>
                <w:bCs/>
                <w:color w:val="FFFFFF"/>
              </w:rPr>
              <w:t xml:space="preserve"> </w:t>
            </w:r>
            <w:r>
              <w:rPr>
                <w:b/>
                <w:bCs/>
                <w:color w:val="FFFFFF"/>
                <w:spacing w:val="6"/>
              </w:rPr>
              <w:t>码</w:t>
            </w:r>
          </w:p>
        </w:tc>
        <w:tc>
          <w:tcPr>
            <w:shd w:val="clear" w:fill="4F81BD"/>
            <w:tcW w:w="1343" w:type="dxa"/>
            <w:vAlign w:val="top"/>
            <w:tcBorders>
              <w:bottom w:val="single" w:color="FFFFFF" w:sz="2" w:space="0"/>
            </w:tcBorders>
          </w:tcPr>
          <w:p>
            <w:pPr>
              <w:pStyle w:val="TableText"/>
              <w:ind w:left="243"/>
              <w:spacing w:before="299" w:line="189" w:lineRule="auto"/>
              <w:rPr/>
            </w:pPr>
            <w:r>
              <w:rPr>
                <w:b/>
                <w:bCs/>
                <w:color w:val="FFFFFF"/>
                <w:spacing w:val="8"/>
              </w:rPr>
              <w:t>公司简称</w:t>
            </w:r>
          </w:p>
        </w:tc>
        <w:tc>
          <w:tcPr>
            <w:shd w:val="clear" w:fill="4F81BD"/>
            <w:tcW w:w="6550" w:type="dxa"/>
            <w:vAlign w:val="top"/>
            <w:tcBorders>
              <w:bottom w:val="single" w:color="FFFFFF" w:sz="2" w:space="0"/>
            </w:tcBorders>
          </w:tcPr>
          <w:p>
            <w:pPr>
              <w:pStyle w:val="TableText"/>
              <w:ind w:left="2847"/>
              <w:spacing w:before="299" w:line="189" w:lineRule="auto"/>
              <w:rPr/>
            </w:pPr>
            <w:r>
              <w:rPr>
                <w:b/>
                <w:bCs/>
                <w:color w:val="FFFFFF"/>
                <w:spacing w:val="8"/>
              </w:rPr>
              <w:t>违规行为</w:t>
            </w:r>
          </w:p>
        </w:tc>
      </w:tr>
      <w:tr>
        <w:trPr>
          <w:trHeight w:val="1090" w:hRule="atLeast"/>
        </w:trPr>
        <w:tc>
          <w:tcPr>
            <w:shd w:val="clear" w:fill="B8CCE4"/>
            <w:tcW w:w="980" w:type="dxa"/>
            <w:vAlign w:val="top"/>
            <w:tcBorders>
              <w:top w:val="single" w:color="FFFFFF" w:sz="2" w:space="0"/>
            </w:tcBorders>
          </w:tcPr>
          <w:p>
            <w:pPr>
              <w:spacing w:line="371" w:lineRule="auto"/>
              <w:rPr>
                <w:rFonts w:ascii="Arial"/>
                <w:sz w:val="21"/>
              </w:rPr>
            </w:pPr>
            <w:r/>
          </w:p>
          <w:p>
            <w:pPr>
              <w:pStyle w:val="TableText"/>
              <w:ind w:left="119"/>
              <w:spacing w:before="85" w:line="179" w:lineRule="auto"/>
              <w:rPr/>
            </w:pPr>
            <w:r>
              <w:rPr>
                <w:spacing w:val="3"/>
              </w:rPr>
              <w:t>000611</w:t>
            </w:r>
          </w:p>
        </w:tc>
        <w:tc>
          <w:tcPr>
            <w:shd w:val="clear" w:fill="B8CCE4"/>
            <w:tcW w:w="1343" w:type="dxa"/>
            <w:vAlign w:val="top"/>
            <w:tcBorders>
              <w:top w:val="single" w:color="FFFFFF" w:sz="2" w:space="0"/>
            </w:tcBorders>
          </w:tcPr>
          <w:p>
            <w:pPr>
              <w:spacing w:line="357" w:lineRule="auto"/>
              <w:rPr>
                <w:rFonts w:ascii="Arial"/>
                <w:sz w:val="21"/>
              </w:rPr>
            </w:pPr>
            <w:r/>
          </w:p>
          <w:p>
            <w:pPr>
              <w:pStyle w:val="TableText"/>
              <w:ind w:left="345"/>
              <w:spacing w:before="86" w:line="189" w:lineRule="auto"/>
              <w:rPr/>
            </w:pPr>
            <w:r>
              <w:rPr>
                <w:spacing w:val="8"/>
              </w:rPr>
              <w:t>天首退</w:t>
            </w:r>
          </w:p>
        </w:tc>
        <w:tc>
          <w:tcPr>
            <w:shd w:val="clear" w:fill="B8CCE4"/>
            <w:tcW w:w="6550" w:type="dxa"/>
            <w:vAlign w:val="top"/>
            <w:tcBorders>
              <w:top w:val="single" w:color="FFFFFF" w:sz="2" w:space="0"/>
            </w:tcBorders>
          </w:tcPr>
          <w:p>
            <w:pPr>
              <w:pStyle w:val="TableText"/>
              <w:ind w:left="98" w:right="138" w:firstLine="2"/>
              <w:spacing w:before="84" w:line="232" w:lineRule="auto"/>
              <w:jc w:val="both"/>
              <w:rPr/>
            </w:pPr>
            <w:r>
              <w:rPr>
                <w:spacing w:val="7"/>
              </w:rPr>
              <w:t>董事长未按规定履行报告、披露义务； 未真实、准确、完整披露持有</w:t>
            </w:r>
            <w:r>
              <w:rPr>
                <w:spacing w:val="16"/>
              </w:rPr>
              <w:t xml:space="preserve"> </w:t>
            </w:r>
            <w:r>
              <w:rPr>
                <w:spacing w:val="5"/>
              </w:rPr>
              <w:t>和交易“天首发展”情况； 限制转让期内转让证券； 借用他人证券账</w:t>
            </w:r>
            <w:r>
              <w:rPr>
                <w:spacing w:val="18"/>
                <w:w w:val="101"/>
              </w:rPr>
              <w:t xml:space="preserve"> </w:t>
            </w:r>
            <w:r>
              <w:rPr>
                <w:spacing w:val="8"/>
              </w:rPr>
              <w:t>户从事证券交易。</w:t>
            </w:r>
          </w:p>
        </w:tc>
      </w:tr>
      <w:tr>
        <w:trPr>
          <w:trHeight w:val="724" w:hRule="atLeast"/>
        </w:trPr>
        <w:tc>
          <w:tcPr>
            <w:tcW w:w="8873" w:type="dxa"/>
            <w:vAlign w:val="top"/>
            <w:gridSpan w:val="3"/>
          </w:tcPr>
          <w:p>
            <w:pPr>
              <w:pStyle w:val="TableText"/>
              <w:ind w:left="106" w:right="102" w:firstLine="17"/>
              <w:spacing w:before="39" w:line="236" w:lineRule="auto"/>
              <w:rPr/>
            </w:pPr>
            <w:r>
              <w:rPr>
                <w:b/>
                <w:bCs/>
                <w:spacing w:val="5"/>
              </w:rPr>
              <w:t>【行政监处罚决定 （拟） 】</w:t>
            </w:r>
            <w:r>
              <w:rPr>
                <w:b/>
                <w:bCs/>
                <w:spacing w:val="-27"/>
              </w:rPr>
              <w:t xml:space="preserve"> </w:t>
            </w:r>
            <w:r>
              <w:rPr>
                <w:spacing w:val="5"/>
              </w:rPr>
              <w:t>中国证券监督管理委员会内蒙古监管局拟决定： 合计对董事长邱某</w:t>
            </w:r>
            <w:r>
              <w:rPr/>
              <w:t xml:space="preserve"> </w:t>
            </w:r>
            <w:r>
              <w:rPr>
                <w:spacing w:val="5"/>
              </w:rPr>
              <w:t>杰没收违法所得194,113.12元， 并处以3,500,000元的罚款。</w:t>
            </w:r>
          </w:p>
        </w:tc>
      </w:tr>
      <w:tr>
        <w:trPr>
          <w:trHeight w:val="1085" w:hRule="atLeast"/>
        </w:trPr>
        <w:tc>
          <w:tcPr>
            <w:shd w:val="clear" w:fill="B8CCE4"/>
            <w:tcW w:w="980" w:type="dxa"/>
            <w:vAlign w:val="top"/>
          </w:tcPr>
          <w:p>
            <w:pPr>
              <w:spacing w:line="369" w:lineRule="auto"/>
              <w:rPr>
                <w:rFonts w:ascii="Arial"/>
                <w:sz w:val="21"/>
              </w:rPr>
            </w:pPr>
            <w:r/>
          </w:p>
          <w:p>
            <w:pPr>
              <w:pStyle w:val="TableText"/>
              <w:ind w:left="122"/>
              <w:spacing w:before="86" w:line="178" w:lineRule="auto"/>
              <w:rPr/>
            </w:pPr>
            <w:r>
              <w:rPr>
                <w:spacing w:val="3"/>
              </w:rPr>
              <w:t>603797</w:t>
            </w:r>
          </w:p>
        </w:tc>
        <w:tc>
          <w:tcPr>
            <w:shd w:val="clear" w:fill="B8CCE4"/>
            <w:tcW w:w="1343" w:type="dxa"/>
            <w:vAlign w:val="top"/>
          </w:tcPr>
          <w:p>
            <w:pPr>
              <w:spacing w:line="354" w:lineRule="auto"/>
              <w:rPr>
                <w:rFonts w:ascii="Arial"/>
                <w:sz w:val="21"/>
              </w:rPr>
            </w:pPr>
            <w:r/>
          </w:p>
          <w:p>
            <w:pPr>
              <w:pStyle w:val="TableText"/>
              <w:ind w:left="242"/>
              <w:spacing w:before="86" w:line="189" w:lineRule="auto"/>
              <w:rPr/>
            </w:pPr>
            <w:r>
              <w:rPr>
                <w:spacing w:val="8"/>
              </w:rPr>
              <w:t>联泰环保</w:t>
            </w:r>
          </w:p>
        </w:tc>
        <w:tc>
          <w:tcPr>
            <w:shd w:val="clear" w:fill="B8CCE4"/>
            <w:tcW w:w="6550" w:type="dxa"/>
            <w:vAlign w:val="top"/>
          </w:tcPr>
          <w:p>
            <w:pPr>
              <w:pStyle w:val="TableText"/>
              <w:ind w:left="99"/>
              <w:spacing w:before="83" w:line="190" w:lineRule="auto"/>
              <w:rPr/>
            </w:pPr>
            <w:r>
              <w:rPr>
                <w:spacing w:val="8"/>
              </w:rPr>
              <w:t>未按规定及时披露关联方2022年至2023年1月</w:t>
            </w:r>
            <w:r>
              <w:rPr>
                <w:b/>
                <w:bCs/>
                <w:spacing w:val="8"/>
              </w:rPr>
              <w:t>非经营性资金占用</w:t>
            </w:r>
            <w:r>
              <w:rPr>
                <w:spacing w:val="8"/>
              </w:rPr>
              <w:t>；</w:t>
            </w:r>
          </w:p>
          <w:p>
            <w:pPr>
              <w:pStyle w:val="TableText"/>
              <w:ind w:left="100" w:right="205" w:firstLine="8"/>
              <w:spacing w:before="87" w:line="221" w:lineRule="auto"/>
              <w:rPr/>
            </w:pPr>
            <w:r>
              <w:rPr>
                <w:spacing w:val="6"/>
              </w:rPr>
              <w:t>2022年半年度报告、</w:t>
            </w:r>
            <w:r>
              <w:rPr>
                <w:spacing w:val="-38"/>
              </w:rPr>
              <w:t xml:space="preserve"> </w:t>
            </w:r>
            <w:r>
              <w:rPr>
                <w:spacing w:val="6"/>
              </w:rPr>
              <w:t>2022年年度报告存在</w:t>
            </w:r>
            <w:r>
              <w:rPr>
                <w:b/>
                <w:bCs/>
                <w:spacing w:val="6"/>
              </w:rPr>
              <w:t>重大遗漏</w:t>
            </w:r>
            <w:r>
              <w:rPr>
                <w:spacing w:val="6"/>
              </w:rPr>
              <w:t>； 对上海</w:t>
            </w:r>
            <w:r>
              <w:rPr>
                <w:spacing w:val="5"/>
              </w:rPr>
              <w:t>证券交</w:t>
            </w:r>
            <w:r>
              <w:rPr/>
              <w:t xml:space="preserve"> </w:t>
            </w:r>
            <w:r>
              <w:rPr>
                <w:spacing w:val="9"/>
              </w:rPr>
              <w:t>易所2022年年报信息披露监管工作函的回复公告存在</w:t>
            </w:r>
            <w:r>
              <w:rPr>
                <w:b/>
                <w:bCs/>
                <w:spacing w:val="9"/>
              </w:rPr>
              <w:t>虚假</w:t>
            </w:r>
            <w:r>
              <w:rPr>
                <w:b/>
                <w:bCs/>
                <w:spacing w:val="8"/>
              </w:rPr>
              <w:t>记载。</w:t>
            </w:r>
          </w:p>
        </w:tc>
      </w:tr>
      <w:tr>
        <w:trPr>
          <w:trHeight w:val="3243" w:hRule="atLeast"/>
        </w:trPr>
        <w:tc>
          <w:tcPr>
            <w:tcW w:w="8873" w:type="dxa"/>
            <w:vAlign w:val="top"/>
            <w:gridSpan w:val="3"/>
          </w:tcPr>
          <w:p>
            <w:pPr>
              <w:pStyle w:val="TableText"/>
              <w:ind w:left="123"/>
              <w:spacing w:before="40" w:line="233" w:lineRule="auto"/>
              <w:rPr/>
            </w:pPr>
            <w:r>
              <w:rPr>
                <w:b/>
                <w:bCs/>
                <w:spacing w:val="4"/>
              </w:rPr>
              <w:t>【行政监处罚决定 （拟） 】</w:t>
            </w:r>
            <w:r>
              <w:rPr>
                <w:b/>
                <w:bCs/>
                <w:spacing w:val="-27"/>
              </w:rPr>
              <w:t xml:space="preserve"> </w:t>
            </w:r>
            <w:r>
              <w:rPr>
                <w:spacing w:val="4"/>
              </w:rPr>
              <w:t>中国证券监督管理委员会广东监管局拟决定：</w:t>
            </w:r>
          </w:p>
          <w:p>
            <w:pPr>
              <w:pStyle w:val="TableText"/>
              <w:ind w:left="125"/>
              <w:spacing w:before="70" w:line="189" w:lineRule="auto"/>
              <w:rPr/>
            </w:pPr>
            <w:r>
              <w:rPr>
                <w:spacing w:val="5"/>
              </w:rPr>
              <w:t>1、对广东联泰环保股份有限公司责令改正， 给予警告， 并处以350万元罚</w:t>
            </w:r>
            <w:r>
              <w:rPr>
                <w:spacing w:val="4"/>
              </w:rPr>
              <w:t>款；</w:t>
            </w:r>
          </w:p>
          <w:p>
            <w:pPr>
              <w:pStyle w:val="TableText"/>
              <w:ind w:left="107" w:right="104" w:firstLine="8"/>
              <w:spacing w:before="89" w:line="250" w:lineRule="auto"/>
              <w:rPr/>
            </w:pPr>
            <w:r>
              <w:rPr>
                <w:spacing w:val="7"/>
              </w:rPr>
              <w:t>2、对实际控制人， 时任董事黄某茹给予警告， 并处以470万元罚款， 其中， 对其作为实际控</w:t>
            </w:r>
            <w:r>
              <w:rPr>
                <w:spacing w:val="8"/>
              </w:rPr>
              <w:t xml:space="preserve"> </w:t>
            </w:r>
            <w:r>
              <w:rPr>
                <w:spacing w:val="6"/>
              </w:rPr>
              <w:t>制人处以350万元罚款， 对其作为责任人处以120万元罚款；</w:t>
            </w:r>
          </w:p>
          <w:p>
            <w:pPr>
              <w:pStyle w:val="TableText"/>
              <w:ind w:left="118"/>
              <w:spacing w:before="5" w:line="189" w:lineRule="auto"/>
              <w:rPr/>
            </w:pPr>
            <w:r>
              <w:rPr>
                <w:spacing w:val="5"/>
              </w:rPr>
              <w:t>3、对董事长黄某勲给予警告， 并处以90万元罚款；</w:t>
            </w:r>
          </w:p>
          <w:p>
            <w:pPr>
              <w:pStyle w:val="TableText"/>
              <w:ind w:left="105"/>
              <w:spacing w:before="92" w:line="189" w:lineRule="auto"/>
              <w:rPr/>
            </w:pPr>
            <w:r>
              <w:rPr>
                <w:spacing w:val="4"/>
              </w:rPr>
              <w:t>4、对董事， 总经理张某给予警告， 并处以90万元罚款；</w:t>
            </w:r>
          </w:p>
          <w:p>
            <w:pPr>
              <w:pStyle w:val="TableText"/>
              <w:ind w:left="121"/>
              <w:spacing w:before="88" w:line="190" w:lineRule="auto"/>
              <w:rPr/>
            </w:pPr>
            <w:r>
              <w:rPr>
                <w:spacing w:val="5"/>
              </w:rPr>
              <w:t>5、对财务总监杨某华给予警告， 并处以90万元罚款；</w:t>
            </w:r>
          </w:p>
          <w:p>
            <w:pPr>
              <w:pStyle w:val="TableText"/>
              <w:ind w:left="115"/>
              <w:spacing w:before="88" w:line="190" w:lineRule="auto"/>
              <w:rPr/>
            </w:pPr>
            <w:r>
              <w:rPr>
                <w:spacing w:val="3"/>
              </w:rPr>
              <w:t>6、对董事会秘书， 董事， 高管林某顺给予警告， 并处以70万元</w:t>
            </w:r>
            <w:r>
              <w:rPr>
                <w:spacing w:val="2"/>
              </w:rPr>
              <w:t>罚款；</w:t>
            </w:r>
          </w:p>
          <w:p>
            <w:pPr>
              <w:pStyle w:val="TableText"/>
              <w:ind w:left="114"/>
              <w:spacing w:before="90" w:line="186" w:lineRule="auto"/>
              <w:rPr/>
            </w:pPr>
            <w:r>
              <w:rPr>
                <w:spacing w:val="6"/>
              </w:rPr>
              <w:t>7、对监事杨某俊、余某和给予警告， 并分别处以50万元罚款。</w:t>
            </w:r>
          </w:p>
        </w:tc>
      </w:tr>
      <w:tr>
        <w:trPr>
          <w:trHeight w:val="365" w:hRule="atLeast"/>
        </w:trPr>
        <w:tc>
          <w:tcPr>
            <w:shd w:val="clear" w:fill="B8CCE4"/>
            <w:tcW w:w="980" w:type="dxa"/>
            <w:vAlign w:val="top"/>
          </w:tcPr>
          <w:p>
            <w:pPr>
              <w:pStyle w:val="TableText"/>
              <w:ind w:left="119"/>
              <w:spacing w:before="101" w:line="177" w:lineRule="auto"/>
              <w:rPr/>
            </w:pPr>
            <w:r>
              <w:rPr>
                <w:spacing w:val="3"/>
              </w:rPr>
              <w:t>002502</w:t>
            </w:r>
          </w:p>
        </w:tc>
        <w:tc>
          <w:tcPr>
            <w:shd w:val="clear" w:fill="B8CCE4"/>
            <w:tcW w:w="1343" w:type="dxa"/>
            <w:vAlign w:val="top"/>
          </w:tcPr>
          <w:p>
            <w:pPr>
              <w:pStyle w:val="TableText"/>
              <w:ind w:left="341"/>
              <w:spacing w:before="89" w:line="186" w:lineRule="auto"/>
              <w:rPr/>
            </w:pPr>
            <w:r>
              <w:rPr/>
              <w:t>ST</w:t>
            </w:r>
            <w:r>
              <w:rPr>
                <w:spacing w:val="7"/>
              </w:rPr>
              <w:t>鼎龙</w:t>
            </w:r>
          </w:p>
        </w:tc>
        <w:tc>
          <w:tcPr>
            <w:shd w:val="clear" w:fill="B8CCE4"/>
            <w:tcW w:w="6550" w:type="dxa"/>
            <w:vAlign w:val="top"/>
          </w:tcPr>
          <w:p>
            <w:pPr>
              <w:pStyle w:val="TableText"/>
              <w:ind w:left="108"/>
              <w:spacing w:before="86" w:line="188" w:lineRule="auto"/>
              <w:rPr/>
            </w:pPr>
            <w:r>
              <w:rPr>
                <w:spacing w:val="7"/>
              </w:rPr>
              <w:t>2021年年度报告、</w:t>
            </w:r>
            <w:r>
              <w:rPr>
                <w:spacing w:val="-36"/>
              </w:rPr>
              <w:t xml:space="preserve"> </w:t>
            </w:r>
            <w:r>
              <w:rPr>
                <w:spacing w:val="7"/>
              </w:rPr>
              <w:t>2022年半年度报告存在</w:t>
            </w:r>
            <w:r>
              <w:rPr>
                <w:b/>
                <w:bCs/>
                <w:spacing w:val="7"/>
              </w:rPr>
              <w:t>虚假记</w:t>
            </w:r>
            <w:r>
              <w:rPr>
                <w:b/>
                <w:bCs/>
                <w:spacing w:val="6"/>
              </w:rPr>
              <w:t>载</w:t>
            </w:r>
            <w:r>
              <w:rPr>
                <w:spacing w:val="6"/>
              </w:rPr>
              <w:t>。</w:t>
            </w:r>
          </w:p>
        </w:tc>
      </w:tr>
      <w:tr>
        <w:trPr>
          <w:trHeight w:val="2163" w:hRule="atLeast"/>
        </w:trPr>
        <w:tc>
          <w:tcPr>
            <w:tcW w:w="8873" w:type="dxa"/>
            <w:vAlign w:val="top"/>
            <w:gridSpan w:val="3"/>
          </w:tcPr>
          <w:p>
            <w:pPr>
              <w:pStyle w:val="TableText"/>
              <w:ind w:left="123"/>
              <w:spacing w:before="46" w:line="233" w:lineRule="auto"/>
              <w:rPr/>
            </w:pPr>
            <w:r>
              <w:rPr>
                <w:b/>
                <w:bCs/>
                <w:spacing w:val="4"/>
              </w:rPr>
              <w:t>【行政监处罚决定 （拟） 】</w:t>
            </w:r>
            <w:r>
              <w:rPr>
                <w:b/>
                <w:bCs/>
                <w:spacing w:val="-27"/>
              </w:rPr>
              <w:t xml:space="preserve"> </w:t>
            </w:r>
            <w:r>
              <w:rPr>
                <w:spacing w:val="4"/>
              </w:rPr>
              <w:t>中国证券监督管理委员会广东监管局拟决定：</w:t>
            </w:r>
          </w:p>
          <w:p>
            <w:pPr>
              <w:pStyle w:val="TableText"/>
              <w:ind w:left="139"/>
              <w:spacing w:before="30" w:line="229" w:lineRule="auto"/>
              <w:rPr/>
            </w:pPr>
            <w:r>
              <w:rPr>
                <w:spacing w:val="4"/>
              </w:rPr>
              <w:t>（一） 对鼎龙文化股份有限公司给予警告， </w:t>
            </w:r>
            <w:r>
              <w:rPr>
                <w:spacing w:val="3"/>
              </w:rPr>
              <w:t>并处以500万元罚款；</w:t>
            </w:r>
          </w:p>
          <w:p>
            <w:pPr>
              <w:pStyle w:val="TableText"/>
              <w:ind w:left="106" w:right="104" w:firstLine="33"/>
              <w:spacing w:before="32" w:line="234" w:lineRule="auto"/>
              <w:rPr/>
            </w:pPr>
            <w:r>
              <w:rPr>
                <w:spacing w:val="6"/>
              </w:rPr>
              <w:t>（二） 对时任董事长， 时任总经理龙某勤、</w:t>
            </w:r>
            <w:r>
              <w:rPr>
                <w:spacing w:val="-38"/>
              </w:rPr>
              <w:t xml:space="preserve"> </w:t>
            </w:r>
            <w:r>
              <w:rPr>
                <w:spacing w:val="6"/>
              </w:rPr>
              <w:t>时任董事方某坡给予警告， 并分</w:t>
            </w:r>
            <w:r>
              <w:rPr>
                <w:spacing w:val="5"/>
              </w:rPr>
              <w:t>别处以150万元罚</w:t>
            </w:r>
            <w:r>
              <w:rPr/>
              <w:t xml:space="preserve"> </w:t>
            </w:r>
            <w:r>
              <w:rPr>
                <w:spacing w:val="3"/>
              </w:rPr>
              <w:t>款；</w:t>
            </w:r>
          </w:p>
          <w:p>
            <w:pPr>
              <w:pStyle w:val="TableText"/>
              <w:ind w:left="139"/>
              <w:spacing w:before="50" w:line="229" w:lineRule="auto"/>
              <w:rPr/>
            </w:pPr>
            <w:r>
              <w:rPr>
                <w:spacing w:val="2"/>
              </w:rPr>
              <w:t>（三） 对时任高管， 时任董秘， 时任财务总监王某平给予警告， 并处以80万元罚款；</w:t>
            </w:r>
          </w:p>
          <w:p>
            <w:pPr>
              <w:pStyle w:val="TableText"/>
              <w:ind w:left="139"/>
              <w:spacing w:before="32" w:line="212" w:lineRule="auto"/>
              <w:rPr/>
            </w:pPr>
            <w:r>
              <w:rPr>
                <w:spacing w:val="5"/>
              </w:rPr>
              <w:t>（四） 对时任高管张某龙、其他关系方刘某给予警告， 并分别处以</w:t>
            </w:r>
            <w:r>
              <w:rPr>
                <w:spacing w:val="4"/>
              </w:rPr>
              <w:t>60万元罚款。</w:t>
            </w:r>
          </w:p>
        </w:tc>
      </w:tr>
      <w:tr>
        <w:trPr>
          <w:trHeight w:val="725" w:hRule="atLeast"/>
        </w:trPr>
        <w:tc>
          <w:tcPr>
            <w:shd w:val="clear" w:fill="B8CCE4"/>
            <w:tcW w:w="980" w:type="dxa"/>
            <w:vAlign w:val="top"/>
          </w:tcPr>
          <w:p>
            <w:pPr>
              <w:pStyle w:val="TableText"/>
              <w:ind w:left="125"/>
              <w:spacing w:before="285" w:line="178" w:lineRule="auto"/>
              <w:rPr/>
            </w:pPr>
            <w:r>
              <w:rPr>
                <w:spacing w:val="3"/>
              </w:rPr>
              <w:t>300242</w:t>
            </w:r>
          </w:p>
        </w:tc>
        <w:tc>
          <w:tcPr>
            <w:shd w:val="clear" w:fill="B8CCE4"/>
            <w:tcW w:w="1343" w:type="dxa"/>
            <w:vAlign w:val="top"/>
          </w:tcPr>
          <w:p>
            <w:pPr>
              <w:pStyle w:val="TableText"/>
              <w:ind w:left="242"/>
              <w:spacing w:before="270" w:line="189" w:lineRule="auto"/>
              <w:rPr/>
            </w:pPr>
            <w:r>
              <w:rPr>
                <w:spacing w:val="8"/>
              </w:rPr>
              <w:t>佳云科技</w:t>
            </w:r>
          </w:p>
        </w:tc>
        <w:tc>
          <w:tcPr>
            <w:shd w:val="clear" w:fill="B8CCE4"/>
            <w:tcW w:w="6550" w:type="dxa"/>
            <w:vAlign w:val="top"/>
          </w:tcPr>
          <w:p>
            <w:pPr>
              <w:pStyle w:val="TableText"/>
              <w:ind w:left="127" w:right="119" w:hanging="28"/>
              <w:spacing w:before="91" w:line="218" w:lineRule="auto"/>
              <w:rPr/>
            </w:pPr>
            <w:r>
              <w:rPr>
                <w:spacing w:val="7"/>
              </w:rPr>
              <w:t>佳云科技应当及时披露</w:t>
            </w:r>
            <w:r>
              <w:rPr>
                <w:b/>
                <w:bCs/>
                <w:spacing w:val="7"/>
              </w:rPr>
              <w:t>重大亏损情况</w:t>
            </w:r>
            <w:r>
              <w:rPr>
                <w:spacing w:val="7"/>
              </w:rPr>
              <w:t>， 但佳云科技迟至2022年4</w:t>
            </w:r>
            <w:r>
              <w:rPr>
                <w:spacing w:val="6"/>
              </w:rPr>
              <w:t>月28</w:t>
            </w:r>
            <w:r>
              <w:rPr/>
              <w:t xml:space="preserve"> </w:t>
            </w:r>
            <w:r>
              <w:rPr>
                <w:spacing w:val="6"/>
              </w:rPr>
              <w:t>日才在2021年年度报告中予以披露。</w:t>
            </w:r>
          </w:p>
        </w:tc>
      </w:tr>
      <w:tr>
        <w:trPr>
          <w:trHeight w:val="1804" w:hRule="atLeast"/>
        </w:trPr>
        <w:tc>
          <w:tcPr>
            <w:tcW w:w="8873" w:type="dxa"/>
            <w:vAlign w:val="top"/>
            <w:gridSpan w:val="3"/>
          </w:tcPr>
          <w:p>
            <w:pPr>
              <w:pStyle w:val="TableText"/>
              <w:ind w:left="123"/>
              <w:spacing w:before="48" w:line="233" w:lineRule="auto"/>
              <w:rPr/>
            </w:pPr>
            <w:r>
              <w:rPr>
                <w:b/>
                <w:bCs/>
                <w:spacing w:val="4"/>
              </w:rPr>
              <w:t>【行政监处罚决定 （拟） 】</w:t>
            </w:r>
            <w:r>
              <w:rPr>
                <w:b/>
                <w:bCs/>
                <w:spacing w:val="-27"/>
              </w:rPr>
              <w:t xml:space="preserve"> </w:t>
            </w:r>
            <w:r>
              <w:rPr>
                <w:spacing w:val="4"/>
              </w:rPr>
              <w:t>中国证券监督管理委员会广东监管局拟决定：</w:t>
            </w:r>
          </w:p>
          <w:p>
            <w:pPr>
              <w:pStyle w:val="TableText"/>
              <w:ind w:left="125"/>
              <w:spacing w:before="70" w:line="189" w:lineRule="auto"/>
              <w:rPr/>
            </w:pPr>
            <w:r>
              <w:rPr>
                <w:spacing w:val="6"/>
              </w:rPr>
              <w:t>1、对广东佳兆业佳云科技股份有限公司给予警告， 并处以150万元罚款；</w:t>
            </w:r>
          </w:p>
          <w:p>
            <w:pPr>
              <w:pStyle w:val="TableText"/>
              <w:ind w:left="107" w:right="102" w:firstLine="8"/>
              <w:spacing w:before="88" w:line="250" w:lineRule="auto"/>
              <w:rPr/>
            </w:pPr>
            <w:r>
              <w:rPr>
                <w:spacing w:val="8"/>
              </w:rPr>
              <w:t>2、对时任董事长郭某群、董事， 总经理钟某、</w:t>
            </w:r>
            <w:r>
              <w:rPr>
                <w:spacing w:val="-37"/>
              </w:rPr>
              <w:t xml:space="preserve"> </w:t>
            </w:r>
            <w:r>
              <w:rPr>
                <w:spacing w:val="8"/>
              </w:rPr>
              <w:t>时任财务总监刘某雄给予警告， 并</w:t>
            </w:r>
            <w:r>
              <w:rPr>
                <w:spacing w:val="7"/>
              </w:rPr>
              <w:t>分别处以40</w:t>
            </w:r>
            <w:r>
              <w:rPr/>
              <w:t xml:space="preserve"> </w:t>
            </w:r>
            <w:r>
              <w:rPr>
                <w:spacing w:val="6"/>
              </w:rPr>
              <w:t>万元罚款；</w:t>
            </w:r>
          </w:p>
          <w:p>
            <w:pPr>
              <w:pStyle w:val="TableText"/>
              <w:ind w:left="118"/>
              <w:spacing w:before="6" w:line="183" w:lineRule="auto"/>
              <w:rPr/>
            </w:pPr>
            <w:r>
              <w:rPr>
                <w:spacing w:val="6"/>
              </w:rPr>
              <w:t>3、对时任董秘朱某磊给予警告， 并处以</w:t>
            </w:r>
            <w:r>
              <w:rPr>
                <w:spacing w:val="5"/>
              </w:rPr>
              <w:t>30万元罚款。</w:t>
            </w:r>
          </w:p>
        </w:tc>
      </w:tr>
      <w:tr>
        <w:trPr>
          <w:trHeight w:val="1092" w:hRule="atLeast"/>
        </w:trPr>
        <w:tc>
          <w:tcPr>
            <w:shd w:val="clear" w:fill="B8CCE4"/>
            <w:tcW w:w="980" w:type="dxa"/>
            <w:vAlign w:val="top"/>
          </w:tcPr>
          <w:p>
            <w:pPr>
              <w:spacing w:line="379" w:lineRule="auto"/>
              <w:rPr>
                <w:rFonts w:ascii="Arial"/>
                <w:sz w:val="21"/>
              </w:rPr>
            </w:pPr>
            <w:r/>
          </w:p>
          <w:p>
            <w:pPr>
              <w:pStyle w:val="TableText"/>
              <w:ind w:left="119"/>
              <w:spacing w:before="85" w:line="178" w:lineRule="auto"/>
              <w:rPr/>
            </w:pPr>
            <w:r>
              <w:rPr>
                <w:spacing w:val="3"/>
              </w:rPr>
              <w:t>000023</w:t>
            </w:r>
          </w:p>
        </w:tc>
        <w:tc>
          <w:tcPr>
            <w:shd w:val="clear" w:fill="B8CCE4"/>
            <w:tcW w:w="1343" w:type="dxa"/>
            <w:vAlign w:val="top"/>
          </w:tcPr>
          <w:p>
            <w:pPr>
              <w:spacing w:line="368" w:lineRule="auto"/>
              <w:rPr>
                <w:rFonts w:ascii="Arial"/>
                <w:sz w:val="21"/>
              </w:rPr>
            </w:pPr>
            <w:r/>
          </w:p>
          <w:p>
            <w:pPr>
              <w:pStyle w:val="TableText"/>
              <w:ind w:left="288"/>
              <w:spacing w:before="86" w:line="186" w:lineRule="auto"/>
              <w:rPr/>
            </w:pPr>
            <w:r>
              <w:rPr>
                <w:spacing w:val="8"/>
              </w:rPr>
              <w:t>*</w:t>
            </w:r>
            <w:r>
              <w:rPr/>
              <w:t>ST</w:t>
            </w:r>
            <w:r>
              <w:rPr>
                <w:spacing w:val="8"/>
              </w:rPr>
              <w:t>深天</w:t>
            </w:r>
          </w:p>
        </w:tc>
        <w:tc>
          <w:tcPr>
            <w:shd w:val="clear" w:fill="B8CCE4"/>
            <w:tcW w:w="6550" w:type="dxa"/>
            <w:vAlign w:val="top"/>
          </w:tcPr>
          <w:p>
            <w:pPr>
              <w:pStyle w:val="TableText"/>
              <w:ind w:left="100" w:right="205" w:hanging="1"/>
              <w:spacing w:before="95" w:line="230" w:lineRule="auto"/>
              <w:rPr/>
            </w:pPr>
            <w:r>
              <w:rPr>
                <w:spacing w:val="7"/>
              </w:rPr>
              <w:t>未按规定披露担保事项； 未按规定披露非经营性资金往来的关联交</w:t>
            </w:r>
            <w:r>
              <w:rPr>
                <w:spacing w:val="5"/>
              </w:rPr>
              <w:t xml:space="preserve">   </w:t>
            </w:r>
            <w:r>
              <w:rPr>
                <w:spacing w:val="5"/>
              </w:rPr>
              <w:t>易； 且未在《</w:t>
            </w:r>
            <w:r>
              <w:rPr>
                <w:spacing w:val="-28"/>
              </w:rPr>
              <w:t xml:space="preserve"> </w:t>
            </w:r>
            <w:r>
              <w:rPr>
                <w:spacing w:val="5"/>
              </w:rPr>
              <w:t>2021年半年度报告》《</w:t>
            </w:r>
            <w:r>
              <w:rPr>
                <w:spacing w:val="-30"/>
              </w:rPr>
              <w:t xml:space="preserve"> </w:t>
            </w:r>
            <w:r>
              <w:rPr>
                <w:spacing w:val="5"/>
              </w:rPr>
              <w:t>2021年年度报告》披露上述相</w:t>
            </w:r>
            <w:r>
              <w:rPr/>
              <w:t xml:space="preserve"> </w:t>
            </w:r>
            <w:r>
              <w:rPr>
                <w:spacing w:val="5"/>
              </w:rPr>
              <w:t>关担保事项， 在《</w:t>
            </w:r>
            <w:r>
              <w:rPr>
                <w:spacing w:val="-28"/>
              </w:rPr>
              <w:t xml:space="preserve"> </w:t>
            </w:r>
            <w:r>
              <w:rPr>
                <w:spacing w:val="5"/>
              </w:rPr>
              <w:t>2021年年度报告》《</w:t>
            </w:r>
            <w:r>
              <w:rPr>
                <w:spacing w:val="-30"/>
              </w:rPr>
              <w:t xml:space="preserve"> </w:t>
            </w:r>
            <w:r>
              <w:rPr>
                <w:spacing w:val="5"/>
              </w:rPr>
              <w:t>2022年半年度报告》披露上</w:t>
            </w:r>
          </w:p>
        </w:tc>
      </w:tr>
    </w:tbl>
    <w:p>
      <w:pPr>
        <w:pStyle w:val="BodyText"/>
        <w:rPr/>
      </w:pPr>
      <w:r/>
    </w:p>
    <w:p>
      <w:pPr>
        <w:sectPr>
          <w:pgSz w:w="11910" w:h="16840"/>
          <w:pgMar w:top="400" w:right="1611" w:bottom="0" w:left="757" w:header="0" w:footer="0" w:gutter="0"/>
        </w:sectPr>
        <w:rPr/>
      </w:pPr>
    </w:p>
    <w:tbl>
      <w:tblPr>
        <w:tblStyle w:val="TableNormal"/>
        <w:tblW w:w="8873" w:type="dxa"/>
        <w:tblInd w:w="660"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980"/>
        <w:gridCol w:w="1343"/>
        <w:gridCol w:w="6550"/>
      </w:tblGrid>
      <w:tr>
        <w:trPr>
          <w:trHeight w:val="383" w:hRule="atLeast"/>
        </w:trPr>
        <w:tc>
          <w:tcPr>
            <w:shd w:val="clear" w:fill="B8CCE4"/>
            <w:tcW w:w="980" w:type="dxa"/>
            <w:vAlign w:val="top"/>
            <w:tcBorders>
              <w:top w:val="single" w:color="FFFFFF" w:sz="2" w:space="0"/>
            </w:tcBorders>
          </w:tcPr>
          <w:p>
            <w:pPr>
              <w:rPr>
                <w:rFonts w:ascii="Arial"/>
                <w:sz w:val="21"/>
              </w:rPr>
            </w:pPr>
            <w:r/>
          </w:p>
        </w:tc>
        <w:tc>
          <w:tcPr>
            <w:shd w:val="clear" w:fill="B8CCE4"/>
            <w:tcW w:w="1343" w:type="dxa"/>
            <w:vAlign w:val="top"/>
            <w:tcBorders>
              <w:top w:val="single" w:color="FFFFFF" w:sz="2" w:space="0"/>
            </w:tcBorders>
          </w:tcPr>
          <w:p>
            <w:pPr>
              <w:rPr>
                <w:rFonts w:ascii="Arial"/>
                <w:sz w:val="21"/>
              </w:rPr>
            </w:pPr>
            <w:r/>
          </w:p>
        </w:tc>
        <w:tc>
          <w:tcPr>
            <w:shd w:val="clear" w:fill="B8CCE4"/>
            <w:tcW w:w="6550" w:type="dxa"/>
            <w:vAlign w:val="top"/>
            <w:tcBorders>
              <w:top w:val="single" w:color="FFFFFF" w:sz="2" w:space="0"/>
            </w:tcBorders>
          </w:tcPr>
          <w:p>
            <w:pPr>
              <w:pStyle w:val="TableText"/>
              <w:ind w:left="99"/>
              <w:spacing w:before="101" w:line="190" w:lineRule="auto"/>
              <w:rPr/>
            </w:pPr>
            <w:r>
              <w:rPr>
                <w:spacing w:val="8"/>
              </w:rPr>
              <w:t>述资金占用及关联交易情况。</w:t>
            </w:r>
          </w:p>
        </w:tc>
      </w:tr>
      <w:tr>
        <w:trPr>
          <w:trHeight w:val="2883" w:hRule="atLeast"/>
        </w:trPr>
        <w:tc>
          <w:tcPr>
            <w:tcW w:w="8873" w:type="dxa"/>
            <w:vAlign w:val="top"/>
            <w:gridSpan w:val="3"/>
          </w:tcPr>
          <w:p>
            <w:pPr>
              <w:pStyle w:val="TableText"/>
              <w:ind w:left="123"/>
              <w:spacing w:before="40" w:line="233" w:lineRule="auto"/>
              <w:rPr/>
            </w:pPr>
            <w:r>
              <w:rPr>
                <w:b/>
                <w:bCs/>
                <w:spacing w:val="4"/>
              </w:rPr>
              <w:t>【行政监处罚决定 （拟） 】</w:t>
            </w:r>
            <w:r>
              <w:rPr>
                <w:b/>
                <w:bCs/>
                <w:spacing w:val="-25"/>
              </w:rPr>
              <w:t xml:space="preserve"> </w:t>
            </w:r>
            <w:r>
              <w:rPr>
                <w:spacing w:val="4"/>
              </w:rPr>
              <w:t>中国证券监督管理委员会深圳证监局拟决定:</w:t>
            </w:r>
          </w:p>
          <w:p>
            <w:pPr>
              <w:pStyle w:val="TableText"/>
              <w:ind w:left="125"/>
              <w:spacing w:before="30" w:line="229" w:lineRule="auto"/>
              <w:rPr/>
            </w:pPr>
            <w:r>
              <w:rPr>
                <w:spacing w:val="5"/>
              </w:rPr>
              <w:t>1、对深圳市天地(集团)股份有限公司责令改正， 给予警告， 并处以400万元罚款；</w:t>
            </w:r>
          </w:p>
          <w:p>
            <w:pPr>
              <w:pStyle w:val="TableText"/>
              <w:ind w:left="106" w:right="102" w:firstLine="8"/>
              <w:spacing w:before="70" w:line="221" w:lineRule="auto"/>
              <w:rPr/>
            </w:pPr>
            <w:r>
              <w:rPr>
                <w:spacing w:val="9"/>
              </w:rPr>
              <w:t>2、对时任董事长， 时任总经理林某润给予警告， 并处以800万元罚款;其中作为公司实际</w:t>
            </w:r>
            <w:r>
              <w:rPr>
                <w:spacing w:val="8"/>
              </w:rPr>
              <w:t>控制</w:t>
            </w:r>
            <w:r>
              <w:rPr/>
              <w:t xml:space="preserve"> </w:t>
            </w:r>
            <w:r>
              <w:rPr>
                <w:spacing w:val="6"/>
              </w:rPr>
              <w:t>人罚款500万元， 作为直接负责的主管人员罚款300万元；</w:t>
            </w:r>
          </w:p>
          <w:p>
            <w:pPr>
              <w:pStyle w:val="TableText"/>
              <w:ind w:left="118"/>
              <w:spacing w:before="88" w:line="190" w:lineRule="auto"/>
              <w:rPr/>
            </w:pPr>
            <w:r>
              <w:rPr>
                <w:spacing w:val="6"/>
              </w:rPr>
              <w:t>3、对时任财务总监吴某雄给予警告， 并处以100万元罚款；</w:t>
            </w:r>
          </w:p>
          <w:p>
            <w:pPr>
              <w:pStyle w:val="TableText"/>
              <w:ind w:left="105"/>
              <w:spacing w:before="89" w:line="189" w:lineRule="auto"/>
              <w:rPr/>
            </w:pPr>
            <w:r>
              <w:rPr>
                <w:spacing w:val="6"/>
              </w:rPr>
              <w:t>4、对时任董事林某锐给予警告， 并处以90万元罚款；</w:t>
            </w:r>
          </w:p>
          <w:p>
            <w:pPr>
              <w:pStyle w:val="TableText"/>
              <w:ind w:left="121"/>
              <w:spacing w:before="90" w:line="189" w:lineRule="auto"/>
              <w:rPr/>
            </w:pPr>
            <w:r>
              <w:rPr>
                <w:spacing w:val="5"/>
              </w:rPr>
              <w:t>5、对时任董事长， 时任总经理林某存给予</w:t>
            </w:r>
            <w:r>
              <w:rPr>
                <w:spacing w:val="4"/>
              </w:rPr>
              <w:t>警告， 并处以80万元罚款；</w:t>
            </w:r>
          </w:p>
          <w:p>
            <w:pPr>
              <w:pStyle w:val="TableText"/>
              <w:ind w:left="115"/>
              <w:spacing w:before="89" w:line="189" w:lineRule="auto"/>
              <w:rPr/>
            </w:pPr>
            <w:r>
              <w:rPr>
                <w:spacing w:val="6"/>
              </w:rPr>
              <w:t>6、对时任高管赵某湘、</w:t>
            </w:r>
            <w:r>
              <w:rPr>
                <w:spacing w:val="-24"/>
              </w:rPr>
              <w:t xml:space="preserve"> </w:t>
            </w:r>
            <w:r>
              <w:rPr>
                <w:spacing w:val="6"/>
              </w:rPr>
              <w:t>时任董秘罗某伟分别给予警告， 并处以70万元罚款。</w:t>
            </w:r>
          </w:p>
        </w:tc>
      </w:tr>
    </w:tbl>
    <w:p>
      <w:pPr>
        <w:pStyle w:val="BodyText"/>
        <w:spacing w:line="321" w:lineRule="auto"/>
        <w:rPr/>
      </w:pPr>
      <w:r/>
    </w:p>
    <w:p>
      <w:pPr>
        <w:spacing w:before="102"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（3） 行政监管措施</w:t>
      </w:r>
    </w:p>
    <w:p>
      <w:pPr>
        <w:spacing w:line="172" w:lineRule="exact"/>
        <w:rPr/>
      </w:pPr>
      <w:r/>
    </w:p>
    <w:tbl>
      <w:tblPr>
        <w:tblStyle w:val="TableNormal"/>
        <w:tblW w:w="8932" w:type="dxa"/>
        <w:tblInd w:w="6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59"/>
        <w:gridCol w:w="1343"/>
        <w:gridCol w:w="6530"/>
      </w:tblGrid>
      <w:tr>
        <w:trPr>
          <w:trHeight w:val="765" w:hRule="atLeast"/>
        </w:trPr>
        <w:tc>
          <w:tcPr>
            <w:shd w:val="clear" w:fill="4F81BD"/>
            <w:tcW w:w="1059" w:type="dxa"/>
            <w:vAlign w:val="top"/>
            <w:tcBorders>
              <w:bottom w:val="single" w:color="FFFFFF" w:sz="2" w:space="0"/>
            </w:tcBorders>
          </w:tcPr>
          <w:p>
            <w:pPr>
              <w:pStyle w:val="TableText"/>
              <w:ind w:left="417" w:right="210" w:hanging="209"/>
              <w:spacing w:before="108" w:line="226" w:lineRule="auto"/>
              <w:rPr/>
            </w:pPr>
            <w:r>
              <w:rPr>
                <w:b/>
                <w:bCs/>
                <w:color w:val="FFFFFF"/>
                <w:spacing w:val="8"/>
              </w:rPr>
              <w:t>公司代</w:t>
            </w:r>
            <w:r>
              <w:rPr>
                <w:b/>
                <w:bCs/>
                <w:color w:val="FFFFFF"/>
              </w:rPr>
              <w:t xml:space="preserve"> </w:t>
            </w:r>
            <w:r>
              <w:rPr>
                <w:b/>
                <w:bCs/>
                <w:color w:val="FFFFFF"/>
                <w:spacing w:val="6"/>
              </w:rPr>
              <w:t>码</w:t>
            </w:r>
          </w:p>
        </w:tc>
        <w:tc>
          <w:tcPr>
            <w:shd w:val="clear" w:fill="4F81BD"/>
            <w:tcW w:w="1343" w:type="dxa"/>
            <w:vAlign w:val="top"/>
            <w:tcBorders>
              <w:bottom w:val="single" w:color="FFFFFF" w:sz="2" w:space="0"/>
            </w:tcBorders>
          </w:tcPr>
          <w:p>
            <w:pPr>
              <w:pStyle w:val="TableText"/>
              <w:ind w:left="241"/>
              <w:spacing w:before="299" w:line="189" w:lineRule="auto"/>
              <w:rPr/>
            </w:pPr>
            <w:r>
              <w:rPr>
                <w:b/>
                <w:bCs/>
                <w:color w:val="FFFFFF"/>
                <w:spacing w:val="8"/>
              </w:rPr>
              <w:t>公司简称</w:t>
            </w:r>
          </w:p>
        </w:tc>
        <w:tc>
          <w:tcPr>
            <w:shd w:val="clear" w:fill="4F81BD"/>
            <w:tcW w:w="6530" w:type="dxa"/>
            <w:vAlign w:val="top"/>
            <w:tcBorders>
              <w:bottom w:val="single" w:color="FFFFFF" w:sz="2" w:space="0"/>
            </w:tcBorders>
          </w:tcPr>
          <w:p>
            <w:pPr>
              <w:pStyle w:val="TableText"/>
              <w:ind w:left="2838"/>
              <w:spacing w:before="299" w:line="189" w:lineRule="auto"/>
              <w:rPr/>
            </w:pPr>
            <w:r>
              <w:rPr>
                <w:b/>
                <w:bCs/>
                <w:color w:val="FFFFFF"/>
                <w:spacing w:val="8"/>
              </w:rPr>
              <w:t>违规行为</w:t>
            </w:r>
          </w:p>
        </w:tc>
      </w:tr>
      <w:tr>
        <w:trPr>
          <w:trHeight w:val="369" w:hRule="atLeast"/>
        </w:trPr>
        <w:tc>
          <w:tcPr>
            <w:shd w:val="clear" w:fill="B8CCE4"/>
            <w:tcW w:w="1059" w:type="dxa"/>
            <w:vAlign w:val="top"/>
            <w:tcBorders>
              <w:top w:val="single" w:color="FFFFFF" w:sz="2" w:space="0"/>
            </w:tcBorders>
          </w:tcPr>
          <w:p>
            <w:pPr>
              <w:pStyle w:val="TableText"/>
              <w:ind w:left="166"/>
              <w:spacing w:before="103" w:line="178" w:lineRule="auto"/>
              <w:rPr/>
            </w:pPr>
            <w:r>
              <w:rPr>
                <w:spacing w:val="3"/>
              </w:rPr>
              <w:t>300900</w:t>
            </w:r>
          </w:p>
        </w:tc>
        <w:tc>
          <w:tcPr>
            <w:shd w:val="clear" w:fill="B8CCE4"/>
            <w:tcW w:w="1343" w:type="dxa"/>
            <w:vAlign w:val="top"/>
            <w:tcBorders>
              <w:top w:val="single" w:color="FFFFFF" w:sz="2" w:space="0"/>
            </w:tcBorders>
          </w:tcPr>
          <w:p>
            <w:pPr>
              <w:pStyle w:val="TableText"/>
              <w:ind w:left="239"/>
              <w:spacing w:before="88" w:line="189" w:lineRule="auto"/>
              <w:rPr/>
            </w:pPr>
            <w:r>
              <w:rPr>
                <w:spacing w:val="8"/>
              </w:rPr>
              <w:t>广联航空</w:t>
            </w:r>
          </w:p>
        </w:tc>
        <w:tc>
          <w:tcPr>
            <w:shd w:val="clear" w:fill="B8CCE4"/>
            <w:tcW w:w="6530" w:type="dxa"/>
            <w:vAlign w:val="top"/>
            <w:tcBorders>
              <w:top w:val="single" w:color="FFFFFF" w:sz="2" w:space="0"/>
            </w:tcBorders>
          </w:tcPr>
          <w:p>
            <w:pPr>
              <w:pStyle w:val="TableText"/>
              <w:ind w:left="99"/>
              <w:spacing w:before="87" w:line="190" w:lineRule="auto"/>
              <w:rPr/>
            </w:pPr>
            <w:r>
              <w:rPr>
                <w:spacing w:val="9"/>
              </w:rPr>
              <w:t>公司董事、副总经理未能在承诺期限内完成</w:t>
            </w:r>
            <w:r>
              <w:rPr>
                <w:b/>
                <w:bCs/>
                <w:spacing w:val="9"/>
              </w:rPr>
              <w:t>增持计划</w:t>
            </w:r>
            <w:r>
              <w:rPr>
                <w:spacing w:val="9"/>
              </w:rPr>
              <w:t>。</w:t>
            </w:r>
          </w:p>
        </w:tc>
      </w:tr>
      <w:tr>
        <w:trPr>
          <w:trHeight w:val="725" w:hRule="atLeast"/>
        </w:trPr>
        <w:tc>
          <w:tcPr>
            <w:tcW w:w="8932" w:type="dxa"/>
            <w:vAlign w:val="top"/>
            <w:gridSpan w:val="3"/>
          </w:tcPr>
          <w:p>
            <w:pPr>
              <w:pStyle w:val="TableText"/>
              <w:ind w:left="108" w:right="103" w:firstLine="14"/>
              <w:spacing w:before="40" w:line="236" w:lineRule="auto"/>
              <w:rPr/>
            </w:pPr>
            <w:r>
              <w:rPr>
                <w:b/>
                <w:bCs/>
                <w:spacing w:val="11"/>
              </w:rPr>
              <w:t>【行政监管措施】</w:t>
            </w:r>
            <w:r>
              <w:rPr>
                <w:b/>
                <w:bCs/>
                <w:spacing w:val="-23"/>
              </w:rPr>
              <w:t xml:space="preserve"> </w:t>
            </w:r>
            <w:r>
              <w:rPr>
                <w:spacing w:val="11"/>
              </w:rPr>
              <w:t>中国证券监督管理委员会黑龙江监管局决定对董事、副总经理常某采取出具</w:t>
            </w:r>
            <w:r>
              <w:rPr/>
              <w:t xml:space="preserve"> </w:t>
            </w:r>
            <w:r>
              <w:rPr>
                <w:spacing w:val="6"/>
              </w:rPr>
              <w:t>警示函的行政监管措施， 并记入证券期货市场诚信档案。</w:t>
            </w:r>
          </w:p>
        </w:tc>
      </w:tr>
      <w:tr>
        <w:trPr>
          <w:trHeight w:val="724" w:hRule="atLeast"/>
        </w:trPr>
        <w:tc>
          <w:tcPr>
            <w:shd w:val="clear" w:fill="B8CCE4"/>
            <w:tcW w:w="1059" w:type="dxa"/>
            <w:vAlign w:val="top"/>
          </w:tcPr>
          <w:p>
            <w:pPr>
              <w:pStyle w:val="TableText"/>
              <w:ind w:left="160"/>
              <w:spacing w:before="277" w:line="178" w:lineRule="auto"/>
              <w:rPr/>
            </w:pPr>
            <w:r>
              <w:rPr>
                <w:spacing w:val="3"/>
              </w:rPr>
              <w:t>000723</w:t>
            </w:r>
          </w:p>
        </w:tc>
        <w:tc>
          <w:tcPr>
            <w:shd w:val="clear" w:fill="B8CCE4"/>
            <w:tcW w:w="1343" w:type="dxa"/>
            <w:vAlign w:val="top"/>
          </w:tcPr>
          <w:p>
            <w:pPr>
              <w:pStyle w:val="TableText"/>
              <w:ind w:left="240"/>
              <w:spacing w:before="261" w:line="190" w:lineRule="auto"/>
              <w:rPr/>
            </w:pPr>
            <w:r>
              <w:rPr>
                <w:spacing w:val="8"/>
              </w:rPr>
              <w:t>美锦能源</w:t>
            </w:r>
          </w:p>
        </w:tc>
        <w:tc>
          <w:tcPr>
            <w:shd w:val="clear" w:fill="B8CCE4"/>
            <w:tcW w:w="6530" w:type="dxa"/>
            <w:vAlign w:val="top"/>
          </w:tcPr>
          <w:p>
            <w:pPr>
              <w:pStyle w:val="TableText"/>
              <w:ind w:left="107" w:right="103" w:hanging="7"/>
              <w:spacing w:before="82" w:line="221" w:lineRule="auto"/>
              <w:rPr/>
            </w:pPr>
            <w:r>
              <w:rPr>
                <w:spacing w:val="10"/>
              </w:rPr>
              <w:t>美锦能源集团有限公司在知悉所持有的美锦能源股票存在</w:t>
            </w:r>
            <w:r>
              <w:rPr>
                <w:b/>
                <w:bCs/>
                <w:spacing w:val="10"/>
              </w:rPr>
              <w:t>被动减持风 </w:t>
            </w:r>
            <w:r>
              <w:rPr>
                <w:b/>
                <w:bCs/>
                <w:spacing w:val="4"/>
              </w:rPr>
              <w:t>险</w:t>
            </w:r>
            <w:r>
              <w:rPr>
                <w:spacing w:val="4"/>
              </w:rPr>
              <w:t>后， 未及时履行信息披露义务。</w:t>
            </w:r>
          </w:p>
        </w:tc>
      </w:tr>
      <w:tr>
        <w:trPr>
          <w:trHeight w:val="725" w:hRule="atLeast"/>
        </w:trPr>
        <w:tc>
          <w:tcPr>
            <w:tcW w:w="8932" w:type="dxa"/>
            <w:vAlign w:val="top"/>
            <w:gridSpan w:val="3"/>
          </w:tcPr>
          <w:p>
            <w:pPr>
              <w:pStyle w:val="TableText"/>
              <w:ind w:left="108" w:right="204" w:firstLine="14"/>
              <w:spacing w:before="42" w:line="235" w:lineRule="auto"/>
              <w:rPr/>
            </w:pPr>
            <w:r>
              <w:rPr>
                <w:b/>
                <w:bCs/>
                <w:spacing w:val="9"/>
              </w:rPr>
              <w:t>【行政监管措施】</w:t>
            </w:r>
            <w:r>
              <w:rPr>
                <w:b/>
                <w:bCs/>
                <w:spacing w:val="-29"/>
              </w:rPr>
              <w:t xml:space="preserve"> </w:t>
            </w:r>
            <w:r>
              <w:rPr>
                <w:spacing w:val="9"/>
              </w:rPr>
              <w:t>中国证券监督管理委员会山西监管局决定对美锦</w:t>
            </w:r>
            <w:r>
              <w:rPr>
                <w:spacing w:val="8"/>
              </w:rPr>
              <w:t>能源集团有限公司采取出具</w:t>
            </w:r>
            <w:r>
              <w:rPr/>
              <w:t xml:space="preserve"> </w:t>
            </w:r>
            <w:r>
              <w:rPr>
                <w:spacing w:val="6"/>
              </w:rPr>
              <w:t>警示函的监督管理措施， 并记入证券期货市场诚信档案。</w:t>
            </w:r>
          </w:p>
        </w:tc>
      </w:tr>
      <w:tr>
        <w:trPr>
          <w:trHeight w:val="724" w:hRule="atLeast"/>
        </w:trPr>
        <w:tc>
          <w:tcPr>
            <w:shd w:val="clear" w:fill="B8CCE4"/>
            <w:tcW w:w="1059" w:type="dxa"/>
            <w:vAlign w:val="top"/>
          </w:tcPr>
          <w:p>
            <w:pPr>
              <w:pStyle w:val="TableText"/>
              <w:ind w:left="160"/>
              <w:spacing w:before="279" w:line="178" w:lineRule="auto"/>
              <w:rPr/>
            </w:pPr>
            <w:r>
              <w:rPr>
                <w:spacing w:val="3"/>
              </w:rPr>
              <w:t>002502</w:t>
            </w:r>
          </w:p>
        </w:tc>
        <w:tc>
          <w:tcPr>
            <w:shd w:val="clear" w:fill="B8CCE4"/>
            <w:tcW w:w="1343" w:type="dxa"/>
            <w:vAlign w:val="top"/>
          </w:tcPr>
          <w:p>
            <w:pPr>
              <w:pStyle w:val="TableText"/>
              <w:ind w:left="341"/>
              <w:spacing w:before="264" w:line="189" w:lineRule="auto"/>
              <w:rPr/>
            </w:pPr>
            <w:r>
              <w:rPr/>
              <w:t>ST</w:t>
            </w:r>
            <w:r>
              <w:rPr>
                <w:spacing w:val="7"/>
              </w:rPr>
              <w:t>鼎龙</w:t>
            </w:r>
          </w:p>
        </w:tc>
        <w:tc>
          <w:tcPr>
            <w:shd w:val="clear" w:fill="B8CCE4"/>
            <w:tcW w:w="6530" w:type="dxa"/>
            <w:vAlign w:val="top"/>
          </w:tcPr>
          <w:p>
            <w:pPr>
              <w:pStyle w:val="TableText"/>
              <w:ind w:left="99" w:right="106"/>
              <w:spacing w:before="84" w:line="220" w:lineRule="auto"/>
              <w:rPr/>
            </w:pPr>
            <w:r>
              <w:rPr>
                <w:spacing w:val="12"/>
              </w:rPr>
              <w:t>公司</w:t>
            </w:r>
            <w:r>
              <w:rPr>
                <w:b/>
                <w:bCs/>
                <w:spacing w:val="12"/>
              </w:rPr>
              <w:t>业绩预告</w:t>
            </w:r>
            <w:r>
              <w:rPr>
                <w:spacing w:val="12"/>
              </w:rPr>
              <w:t>和年度报告披露的2023年净利润盈亏相反， </w:t>
            </w:r>
            <w:r>
              <w:rPr>
                <w:spacing w:val="11"/>
              </w:rPr>
              <w:t>且未及时</w:t>
            </w:r>
            <w:r>
              <w:rPr/>
              <w:t xml:space="preserve"> </w:t>
            </w:r>
            <w:r>
              <w:rPr>
                <w:spacing w:val="5"/>
              </w:rPr>
              <w:t>修正。</w:t>
            </w:r>
          </w:p>
        </w:tc>
      </w:tr>
      <w:tr>
        <w:trPr>
          <w:trHeight w:val="724" w:hRule="atLeast"/>
        </w:trPr>
        <w:tc>
          <w:tcPr>
            <w:tcW w:w="8932" w:type="dxa"/>
            <w:vAlign w:val="top"/>
            <w:gridSpan w:val="3"/>
          </w:tcPr>
          <w:p>
            <w:pPr>
              <w:pStyle w:val="TableText"/>
              <w:ind w:left="106" w:right="384" w:firstLine="16"/>
              <w:spacing w:before="44" w:line="234" w:lineRule="auto"/>
              <w:rPr/>
            </w:pPr>
            <w:r>
              <w:rPr>
                <w:b/>
                <w:bCs/>
                <w:spacing w:val="7"/>
              </w:rPr>
              <w:t>【行政监管措施】</w:t>
            </w:r>
            <w:r>
              <w:rPr>
                <w:b/>
                <w:bCs/>
                <w:spacing w:val="-21"/>
              </w:rPr>
              <w:t xml:space="preserve"> </w:t>
            </w:r>
            <w:r>
              <w:rPr>
                <w:spacing w:val="7"/>
              </w:rPr>
              <w:t>中国证券监督管理委员会广东监管局决定对</w:t>
            </w:r>
            <w:r>
              <w:rPr/>
              <w:t>ST</w:t>
            </w:r>
            <w:r>
              <w:rPr>
                <w:spacing w:val="7"/>
              </w:rPr>
              <w:t>鼎龙、董事长， 总经理龙某</w:t>
            </w:r>
            <w:r>
              <w:rPr/>
              <w:t xml:space="preserve"> </w:t>
            </w:r>
            <w:r>
              <w:rPr>
                <w:spacing w:val="9"/>
              </w:rPr>
              <w:t>勤、财务总监徐某军、董事会秘书王某平采取出具警示函的行政监管措施。</w:t>
            </w:r>
          </w:p>
        </w:tc>
      </w:tr>
      <w:tr>
        <w:trPr>
          <w:trHeight w:val="725" w:hRule="atLeast"/>
        </w:trPr>
        <w:tc>
          <w:tcPr>
            <w:shd w:val="clear" w:fill="B8CCE4"/>
            <w:tcW w:w="1059" w:type="dxa"/>
            <w:vAlign w:val="top"/>
          </w:tcPr>
          <w:p>
            <w:pPr>
              <w:pStyle w:val="TableText"/>
              <w:ind w:left="160"/>
              <w:spacing w:before="282" w:line="178" w:lineRule="auto"/>
              <w:rPr/>
            </w:pPr>
            <w:r>
              <w:rPr>
                <w:spacing w:val="3"/>
              </w:rPr>
              <w:t>002388</w:t>
            </w:r>
          </w:p>
        </w:tc>
        <w:tc>
          <w:tcPr>
            <w:shd w:val="clear" w:fill="B8CCE4"/>
            <w:tcW w:w="1343" w:type="dxa"/>
            <w:vAlign w:val="top"/>
          </w:tcPr>
          <w:p>
            <w:pPr>
              <w:pStyle w:val="TableText"/>
              <w:ind w:left="240"/>
              <w:spacing w:before="267" w:line="189" w:lineRule="auto"/>
              <w:rPr/>
            </w:pPr>
            <w:r>
              <w:rPr>
                <w:spacing w:val="8"/>
              </w:rPr>
              <w:t>新亚制程</w:t>
            </w:r>
          </w:p>
        </w:tc>
        <w:tc>
          <w:tcPr>
            <w:shd w:val="clear" w:fill="B8CCE4"/>
            <w:tcW w:w="6530" w:type="dxa"/>
            <w:vAlign w:val="top"/>
          </w:tcPr>
          <w:p>
            <w:pPr>
              <w:pStyle w:val="TableText"/>
              <w:ind w:left="100" w:right="103" w:hanging="1"/>
              <w:spacing w:before="48" w:line="233" w:lineRule="auto"/>
              <w:rPr/>
            </w:pPr>
            <w:r>
              <w:rPr>
                <w:spacing w:val="7"/>
              </w:rPr>
              <w:t>新亚制程 （浙江） 股份有限公司</w:t>
            </w:r>
            <w:r>
              <w:rPr>
                <w:b/>
                <w:bCs/>
                <w:spacing w:val="7"/>
              </w:rPr>
              <w:t>2019年、</w:t>
            </w:r>
            <w:r>
              <w:rPr>
                <w:b/>
                <w:bCs/>
                <w:spacing w:val="-26"/>
              </w:rPr>
              <w:t xml:space="preserve"> </w:t>
            </w:r>
            <w:r>
              <w:rPr>
                <w:b/>
                <w:bCs/>
                <w:spacing w:val="7"/>
              </w:rPr>
              <w:t>2020年、</w:t>
            </w:r>
            <w:r>
              <w:rPr>
                <w:b/>
                <w:bCs/>
                <w:spacing w:val="-25"/>
              </w:rPr>
              <w:t xml:space="preserve"> </w:t>
            </w:r>
            <w:r>
              <w:rPr>
                <w:b/>
                <w:bCs/>
                <w:spacing w:val="6"/>
              </w:rPr>
              <w:t>2021年年报审</w:t>
            </w:r>
            <w:r>
              <w:rPr>
                <w:b/>
                <w:bCs/>
              </w:rPr>
              <w:t xml:space="preserve"> </w:t>
            </w:r>
            <w:r>
              <w:rPr>
                <w:b/>
                <w:bCs/>
                <w:spacing w:val="7"/>
              </w:rPr>
              <w:t>计工作</w:t>
            </w:r>
            <w:r>
              <w:rPr>
                <w:spacing w:val="7"/>
              </w:rPr>
              <w:t>存在问题。</w:t>
            </w:r>
          </w:p>
        </w:tc>
      </w:tr>
      <w:tr>
        <w:trPr>
          <w:trHeight w:val="724" w:hRule="atLeast"/>
        </w:trPr>
        <w:tc>
          <w:tcPr>
            <w:tcW w:w="8932" w:type="dxa"/>
            <w:vAlign w:val="top"/>
            <w:gridSpan w:val="3"/>
          </w:tcPr>
          <w:p>
            <w:pPr>
              <w:pStyle w:val="TableText"/>
              <w:ind w:left="106" w:right="204" w:firstLine="17"/>
              <w:spacing w:before="44" w:line="234" w:lineRule="auto"/>
              <w:rPr/>
            </w:pPr>
            <w:r>
              <w:rPr>
                <w:b/>
                <w:bCs/>
                <w:spacing w:val="7"/>
              </w:rPr>
              <w:t>【行政监管措施】</w:t>
            </w:r>
            <w:r>
              <w:rPr>
                <w:b/>
                <w:bCs/>
                <w:spacing w:val="-25"/>
              </w:rPr>
              <w:t xml:space="preserve"> </w:t>
            </w:r>
            <w:r>
              <w:rPr>
                <w:spacing w:val="7"/>
              </w:rPr>
              <w:t>中国证券监督管理委员会广东监管局决定对立信会计师事务所 （特殊普通合</w:t>
            </w:r>
            <w:r>
              <w:rPr/>
              <w:t xml:space="preserve"> </w:t>
            </w:r>
            <w:r>
              <w:rPr>
                <w:spacing w:val="6"/>
              </w:rPr>
              <w:t>伙） 、注册会计师采取出具警示函的行政监管措施。</w:t>
            </w:r>
          </w:p>
        </w:tc>
      </w:tr>
      <w:tr>
        <w:trPr>
          <w:trHeight w:val="2164" w:hRule="atLeast"/>
        </w:trPr>
        <w:tc>
          <w:tcPr>
            <w:shd w:val="clear" w:fill="B8CCE4"/>
            <w:tcW w:w="1059" w:type="dxa"/>
            <w:vAlign w:val="top"/>
          </w:tcPr>
          <w:p>
            <w:pPr>
              <w:spacing w:line="303"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160"/>
              <w:spacing w:before="86" w:line="179" w:lineRule="auto"/>
              <w:rPr/>
            </w:pPr>
            <w:r>
              <w:rPr>
                <w:spacing w:val="3"/>
              </w:rPr>
              <w:t>002961</w:t>
            </w:r>
          </w:p>
        </w:tc>
        <w:tc>
          <w:tcPr>
            <w:shd w:val="clear" w:fill="B8CCE4"/>
            <w:tcW w:w="1343"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239"/>
              <w:spacing w:before="86" w:line="190" w:lineRule="auto"/>
              <w:rPr/>
            </w:pPr>
            <w:r>
              <w:rPr>
                <w:spacing w:val="8"/>
              </w:rPr>
              <w:t>瑞达期货</w:t>
            </w:r>
          </w:p>
        </w:tc>
        <w:tc>
          <w:tcPr>
            <w:shd w:val="clear" w:fill="B8CCE4"/>
            <w:tcW w:w="6530" w:type="dxa"/>
            <w:vAlign w:val="top"/>
          </w:tcPr>
          <w:p>
            <w:pPr>
              <w:pStyle w:val="TableText"/>
              <w:ind w:left="98" w:right="103" w:firstLine="1"/>
              <w:spacing w:before="86" w:line="241" w:lineRule="auto"/>
              <w:jc w:val="both"/>
              <w:rPr/>
            </w:pPr>
            <w:r>
              <w:rPr>
                <w:spacing w:val="8"/>
              </w:rPr>
              <w:t>瑞达期货股份有限公司互联网营销业务内部控制不健全， 在开展互联</w:t>
            </w:r>
            <w:r>
              <w:rPr>
                <w:spacing w:val="3"/>
              </w:rPr>
              <w:t xml:space="preserve"> </w:t>
            </w:r>
            <w:r>
              <w:rPr>
                <w:spacing w:val="8"/>
              </w:rPr>
              <w:t>网营销业务过程存在以下问题： 一是个别员工在取得期货从业资格证</w:t>
            </w:r>
            <w:r>
              <w:rPr>
                <w:spacing w:val="4"/>
              </w:rPr>
              <w:t xml:space="preserve"> </w:t>
            </w:r>
            <w:r>
              <w:rPr>
                <w:spacing w:val="6"/>
              </w:rPr>
              <w:t>之前从事了期货业务活动； 二是部分宣传营销内容片面宣传； 三是与</w:t>
            </w:r>
            <w:r>
              <w:rPr>
                <w:spacing w:val="1"/>
              </w:rPr>
              <w:t xml:space="preserve"> </w:t>
            </w:r>
            <w:r>
              <w:rPr>
                <w:spacing w:val="15"/>
              </w:rPr>
              <w:t>第三方机构合作模式不规范；</w:t>
            </w:r>
            <w:r>
              <w:rPr>
                <w:spacing w:val="25"/>
                <w:w w:val="101"/>
              </w:rPr>
              <w:t xml:space="preserve"> </w:t>
            </w:r>
            <w:r>
              <w:rPr>
                <w:spacing w:val="15"/>
              </w:rPr>
              <w:t>四是部分宣传营销</w:t>
            </w:r>
            <w:r>
              <w:rPr>
                <w:spacing w:val="14"/>
              </w:rPr>
              <w:t>内容审核留痕不到</w:t>
            </w:r>
            <w:r>
              <w:rPr/>
              <w:t xml:space="preserve"> </w:t>
            </w:r>
            <w:r>
              <w:rPr>
                <w:spacing w:val="8"/>
              </w:rPr>
              <w:t>位； 五是个别不具备期货交易咨询资格的员工违规开展期货行情分析</w:t>
            </w:r>
            <w:r>
              <w:rPr>
                <w:spacing w:val="4"/>
              </w:rPr>
              <w:t xml:space="preserve"> </w:t>
            </w:r>
            <w:r>
              <w:rPr>
                <w:spacing w:val="8"/>
              </w:rPr>
              <w:t>等信息传播活动。</w:t>
            </w:r>
          </w:p>
        </w:tc>
      </w:tr>
      <w:tr>
        <w:trPr>
          <w:trHeight w:val="724" w:hRule="atLeast"/>
        </w:trPr>
        <w:tc>
          <w:tcPr>
            <w:tcW w:w="8932" w:type="dxa"/>
            <w:vAlign w:val="top"/>
            <w:gridSpan w:val="3"/>
          </w:tcPr>
          <w:p>
            <w:pPr>
              <w:pStyle w:val="TableText"/>
              <w:ind w:left="108" w:right="207" w:firstLine="14"/>
              <w:spacing w:before="47" w:line="233" w:lineRule="auto"/>
              <w:rPr/>
            </w:pPr>
            <w:r>
              <w:rPr>
                <w:b/>
                <w:bCs/>
                <w:spacing w:val="9"/>
              </w:rPr>
              <w:t>【行政监管措施</w:t>
            </w:r>
            <w:r>
              <w:rPr>
                <w:spacing w:val="9"/>
              </w:rPr>
              <w:t>】</w:t>
            </w:r>
            <w:r>
              <w:rPr>
                <w:spacing w:val="-31"/>
              </w:rPr>
              <w:t xml:space="preserve"> </w:t>
            </w:r>
            <w:r>
              <w:rPr>
                <w:spacing w:val="9"/>
              </w:rPr>
              <w:t>中国证券监督管理委员会厦门监管局决定对从业</w:t>
            </w:r>
            <w:r>
              <w:rPr>
                <w:spacing w:val="8"/>
              </w:rPr>
              <w:t>人员陈某琛、费某采取出具</w:t>
            </w:r>
            <w:r>
              <w:rPr/>
              <w:t xml:space="preserve"> </w:t>
            </w:r>
            <w:r>
              <w:rPr>
                <w:spacing w:val="8"/>
              </w:rPr>
              <w:t>警示函的监督管理措施。</w:t>
            </w:r>
          </w:p>
        </w:tc>
      </w:tr>
      <w:tr>
        <w:trPr>
          <w:trHeight w:val="1085" w:hRule="atLeast"/>
        </w:trPr>
        <w:tc>
          <w:tcPr>
            <w:shd w:val="clear" w:fill="B8CCE4"/>
            <w:tcW w:w="1059" w:type="dxa"/>
            <w:vAlign w:val="top"/>
          </w:tcPr>
          <w:p>
            <w:pPr>
              <w:spacing w:line="381" w:lineRule="auto"/>
              <w:rPr>
                <w:rFonts w:ascii="Arial"/>
                <w:sz w:val="21"/>
              </w:rPr>
            </w:pPr>
            <w:r/>
          </w:p>
          <w:p>
            <w:pPr>
              <w:pStyle w:val="TableText"/>
              <w:ind w:left="163"/>
              <w:spacing w:before="86" w:line="178" w:lineRule="auto"/>
              <w:rPr/>
            </w:pPr>
            <w:r>
              <w:rPr>
                <w:spacing w:val="3"/>
              </w:rPr>
              <w:t>600203</w:t>
            </w:r>
          </w:p>
        </w:tc>
        <w:tc>
          <w:tcPr>
            <w:shd w:val="clear" w:fill="B8CCE4"/>
            <w:tcW w:w="1343" w:type="dxa"/>
            <w:vAlign w:val="top"/>
          </w:tcPr>
          <w:p>
            <w:pPr>
              <w:spacing w:line="366" w:lineRule="auto"/>
              <w:rPr>
                <w:rFonts w:ascii="Arial"/>
                <w:sz w:val="21"/>
              </w:rPr>
            </w:pPr>
            <w:r/>
          </w:p>
          <w:p>
            <w:pPr>
              <w:pStyle w:val="TableText"/>
              <w:ind w:left="240"/>
              <w:spacing w:before="86" w:line="189" w:lineRule="auto"/>
              <w:rPr/>
            </w:pPr>
            <w:r>
              <w:rPr>
                <w:spacing w:val="8"/>
              </w:rPr>
              <w:t>福日电子</w:t>
            </w:r>
          </w:p>
        </w:tc>
        <w:tc>
          <w:tcPr>
            <w:shd w:val="clear" w:fill="B8CCE4"/>
            <w:tcW w:w="6530" w:type="dxa"/>
            <w:vAlign w:val="top"/>
          </w:tcPr>
          <w:p>
            <w:pPr>
              <w:pStyle w:val="TableText"/>
              <w:ind w:left="108"/>
              <w:spacing w:before="93" w:line="190" w:lineRule="auto"/>
              <w:rPr/>
            </w:pPr>
            <w:r>
              <w:rPr>
                <w:spacing w:val="6"/>
              </w:rPr>
              <w:t>2023年年度报告非财务报告章节中， 存在与营业收入、营业成本、</w:t>
            </w:r>
          </w:p>
          <w:p>
            <w:pPr>
              <w:pStyle w:val="TableText"/>
              <w:ind w:left="100" w:right="120"/>
              <w:spacing w:before="89" w:line="217" w:lineRule="auto"/>
              <w:rPr/>
            </w:pPr>
            <w:r>
              <w:rPr>
                <w:spacing w:val="10"/>
              </w:rPr>
              <w:t>每股收益、其他权益工具投资、个别控股参股公司财</w:t>
            </w:r>
            <w:r>
              <w:rPr>
                <w:spacing w:val="9"/>
              </w:rPr>
              <w:t>务数据、关联交</w:t>
            </w:r>
            <w:r>
              <w:rPr/>
              <w:t xml:space="preserve"> </w:t>
            </w:r>
            <w:r>
              <w:rPr>
                <w:spacing w:val="9"/>
              </w:rPr>
              <w:t>易等相关的信息披露不准确的情形。</w:t>
            </w:r>
          </w:p>
        </w:tc>
      </w:tr>
      <w:tr>
        <w:trPr>
          <w:trHeight w:val="724" w:hRule="atLeast"/>
        </w:trPr>
        <w:tc>
          <w:tcPr>
            <w:tcW w:w="8932" w:type="dxa"/>
            <w:vAlign w:val="top"/>
            <w:gridSpan w:val="3"/>
          </w:tcPr>
          <w:p>
            <w:pPr>
              <w:pStyle w:val="TableText"/>
              <w:ind w:left="107" w:right="149" w:firstLine="15"/>
              <w:spacing w:before="50" w:line="232" w:lineRule="auto"/>
              <w:rPr/>
            </w:pPr>
            <w:r>
              <w:rPr>
                <w:b/>
                <w:bCs/>
                <w:spacing w:val="10"/>
              </w:rPr>
              <w:t>【行政监管措施】</w:t>
            </w:r>
            <w:r>
              <w:rPr>
                <w:b/>
                <w:bCs/>
                <w:spacing w:val="-27"/>
              </w:rPr>
              <w:t xml:space="preserve"> </w:t>
            </w:r>
            <w:r>
              <w:rPr>
                <w:spacing w:val="10"/>
              </w:rPr>
              <w:t>中国证券监督管理委员会福建监管局决定对福日电子、董事会秘书吴某飞、</w:t>
            </w:r>
            <w:r>
              <w:rPr/>
              <w:t xml:space="preserve"> </w:t>
            </w:r>
            <w:r>
              <w:rPr>
                <w:spacing w:val="8"/>
              </w:rPr>
              <w:t>财务总监陈某贵采取出具警示函的行政监管措施， 并记入证券期货市场诚</w:t>
            </w:r>
            <w:r>
              <w:rPr>
                <w:spacing w:val="7"/>
              </w:rPr>
              <w:t>信档案数据库。</w:t>
            </w:r>
          </w:p>
        </w:tc>
      </w:tr>
      <w:tr>
        <w:trPr>
          <w:trHeight w:val="733" w:hRule="atLeast"/>
        </w:trPr>
        <w:tc>
          <w:tcPr>
            <w:shd w:val="clear" w:fill="B8CCE4"/>
            <w:tcW w:w="1059" w:type="dxa"/>
            <w:vAlign w:val="top"/>
          </w:tcPr>
          <w:p>
            <w:pPr>
              <w:pStyle w:val="TableText"/>
              <w:ind w:left="166"/>
              <w:spacing w:before="291" w:line="178" w:lineRule="auto"/>
              <w:rPr/>
            </w:pPr>
            <w:r>
              <w:rPr>
                <w:spacing w:val="3"/>
              </w:rPr>
              <w:t>300706</w:t>
            </w:r>
          </w:p>
        </w:tc>
        <w:tc>
          <w:tcPr>
            <w:shd w:val="clear" w:fill="B8CCE4"/>
            <w:tcW w:w="1343" w:type="dxa"/>
            <w:vAlign w:val="top"/>
          </w:tcPr>
          <w:p>
            <w:pPr>
              <w:pStyle w:val="TableText"/>
              <w:ind w:left="356"/>
              <w:spacing w:before="279" w:line="187" w:lineRule="auto"/>
              <w:rPr/>
            </w:pPr>
            <w:r>
              <w:rPr>
                <w:spacing w:val="5"/>
              </w:rPr>
              <w:t>阿石创</w:t>
            </w:r>
          </w:p>
        </w:tc>
        <w:tc>
          <w:tcPr>
            <w:shd w:val="clear" w:fill="B8CCE4"/>
            <w:tcW w:w="6530" w:type="dxa"/>
            <w:vAlign w:val="top"/>
          </w:tcPr>
          <w:p>
            <w:pPr>
              <w:pStyle w:val="TableText"/>
              <w:ind w:left="99" w:right="103"/>
              <w:spacing w:before="53" w:line="234" w:lineRule="auto"/>
              <w:rPr/>
            </w:pPr>
            <w:r>
              <w:rPr>
                <w:spacing w:val="12"/>
              </w:rPr>
              <w:t>控股股东、实际控制人及一致行动人福州科拓</w:t>
            </w:r>
            <w:r>
              <w:rPr>
                <w:b/>
                <w:bCs/>
                <w:spacing w:val="12"/>
              </w:rPr>
              <w:t>累计减持比例达1%</w:t>
            </w:r>
            <w:r>
              <w:rPr>
                <w:b/>
                <w:bCs/>
                <w:spacing w:val="-19"/>
              </w:rPr>
              <w:t xml:space="preserve"> </w:t>
            </w:r>
            <w:r>
              <w:rPr>
                <w:spacing w:val="12"/>
              </w:rPr>
              <w:t>，</w:t>
            </w:r>
            <w:r>
              <w:rPr/>
              <w:t xml:space="preserve"> </w:t>
            </w:r>
            <w:r>
              <w:rPr>
                <w:spacing w:val="8"/>
              </w:rPr>
              <w:t>但未及时告知公司上述减持股份情况， 公司未及时披露控股股东及其</w:t>
            </w:r>
          </w:p>
        </w:tc>
      </w:tr>
    </w:tbl>
    <w:p>
      <w:pPr>
        <w:pStyle w:val="BodyText"/>
        <w:rPr/>
      </w:pPr>
      <w:r/>
    </w:p>
    <w:p>
      <w:pPr>
        <w:sectPr>
          <w:pgSz w:w="11910" w:h="16840"/>
          <w:pgMar w:top="400" w:right="1581" w:bottom="0" w:left="757" w:header="0" w:footer="0" w:gutter="0"/>
        </w:sectPr>
        <w:rPr/>
      </w:pPr>
    </w:p>
    <w:tbl>
      <w:tblPr>
        <w:tblStyle w:val="TableNormal"/>
        <w:tblW w:w="8932"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59"/>
        <w:gridCol w:w="1343"/>
        <w:gridCol w:w="6530"/>
      </w:tblGrid>
      <w:tr>
        <w:trPr>
          <w:trHeight w:val="1105" w:hRule="atLeast"/>
        </w:trPr>
        <w:tc>
          <w:tcPr>
            <w:shd w:val="clear" w:fill="B8CCE4"/>
            <w:tcW w:w="1059" w:type="dxa"/>
            <w:vAlign w:val="top"/>
            <w:tcBorders>
              <w:top w:val="single" w:color="FFFFFF" w:sz="2" w:space="0"/>
            </w:tcBorders>
          </w:tcPr>
          <w:p>
            <w:pPr>
              <w:rPr>
                <w:rFonts w:ascii="Arial"/>
                <w:sz w:val="21"/>
              </w:rPr>
            </w:pPr>
            <w:r/>
          </w:p>
        </w:tc>
        <w:tc>
          <w:tcPr>
            <w:shd w:val="clear" w:fill="B8CCE4"/>
            <w:tcW w:w="1343" w:type="dxa"/>
            <w:vAlign w:val="top"/>
            <w:tcBorders>
              <w:top w:val="single" w:color="FFFFFF" w:sz="2" w:space="0"/>
            </w:tcBorders>
          </w:tcPr>
          <w:p>
            <w:pPr>
              <w:rPr>
                <w:rFonts w:ascii="Arial"/>
                <w:sz w:val="21"/>
              </w:rPr>
            </w:pPr>
            <w:r/>
          </w:p>
        </w:tc>
        <w:tc>
          <w:tcPr>
            <w:shd w:val="clear" w:fill="B8CCE4"/>
            <w:tcW w:w="6530" w:type="dxa"/>
            <w:vAlign w:val="top"/>
            <w:tcBorders>
              <w:top w:val="single" w:color="FFFFFF" w:sz="2" w:space="0"/>
            </w:tcBorders>
          </w:tcPr>
          <w:p>
            <w:pPr>
              <w:pStyle w:val="TableText"/>
              <w:ind w:left="99" w:right="103" w:firstLine="1"/>
              <w:spacing w:before="65"/>
              <w:rPr/>
            </w:pPr>
            <w:r>
              <w:rPr>
                <w:spacing w:val="12"/>
              </w:rPr>
              <w:t>一致行动人减持1%的提示性公告。</w:t>
            </w:r>
            <w:r>
              <w:rPr>
                <w:spacing w:val="-17"/>
              </w:rPr>
              <w:t xml:space="preserve"> </w:t>
            </w:r>
            <w:r>
              <w:rPr>
                <w:spacing w:val="12"/>
              </w:rPr>
              <w:t>2021年3月1日至3月2日期间</w:t>
            </w:r>
            <w:r>
              <w:rPr>
                <w:spacing w:val="-21"/>
              </w:rPr>
              <w:t xml:space="preserve"> </w:t>
            </w:r>
            <w:r>
              <w:rPr>
                <w:spacing w:val="12"/>
              </w:rPr>
              <w:t>，</w:t>
            </w:r>
            <w:r>
              <w:rPr/>
              <w:t xml:space="preserve"> </w:t>
            </w:r>
            <w:r>
              <w:rPr>
                <w:spacing w:val="21"/>
              </w:rPr>
              <w:t>控股股东</w:t>
            </w:r>
            <w:r>
              <w:rPr>
                <w:spacing w:val="-16"/>
              </w:rPr>
              <w:t xml:space="preserve"> </w:t>
            </w:r>
            <w:r>
              <w:rPr>
                <w:spacing w:val="21"/>
              </w:rPr>
              <w:t>、</w:t>
            </w:r>
            <w:r>
              <w:rPr>
                <w:spacing w:val="-35"/>
              </w:rPr>
              <w:t xml:space="preserve"> </w:t>
            </w:r>
            <w:r>
              <w:rPr>
                <w:spacing w:val="21"/>
              </w:rPr>
              <w:t>实际控制人在</w:t>
            </w:r>
            <w:r>
              <w:rPr>
                <w:b/>
                <w:bCs/>
                <w:spacing w:val="21"/>
              </w:rPr>
              <w:t>未及时公告情况下</w:t>
            </w:r>
            <w:r>
              <w:rPr>
                <w:spacing w:val="21"/>
              </w:rPr>
              <w:t>又减持公司股票54万</w:t>
            </w:r>
            <w:r>
              <w:rPr/>
              <w:t xml:space="preserve"> </w:t>
            </w:r>
            <w:r>
              <w:rPr>
                <w:spacing w:val="2"/>
              </w:rPr>
              <w:t>股， 减持比例为0.38%。</w:t>
            </w:r>
          </w:p>
        </w:tc>
      </w:tr>
      <w:tr>
        <w:trPr>
          <w:trHeight w:val="724" w:hRule="atLeast"/>
        </w:trPr>
        <w:tc>
          <w:tcPr>
            <w:tcW w:w="8932" w:type="dxa"/>
            <w:vAlign w:val="top"/>
            <w:gridSpan w:val="3"/>
          </w:tcPr>
          <w:p>
            <w:pPr>
              <w:pStyle w:val="TableText"/>
              <w:ind w:left="106" w:right="206" w:firstLine="17"/>
              <w:spacing w:before="39" w:line="236" w:lineRule="auto"/>
              <w:rPr/>
            </w:pPr>
            <w:r>
              <w:rPr>
                <w:b/>
                <w:bCs/>
                <w:spacing w:val="7"/>
              </w:rPr>
              <w:t>【行政监管措施】</w:t>
            </w:r>
            <w:r>
              <w:rPr>
                <w:b/>
                <w:bCs/>
                <w:spacing w:val="-28"/>
              </w:rPr>
              <w:t xml:space="preserve"> </w:t>
            </w:r>
            <w:r>
              <w:rPr>
                <w:spacing w:val="7"/>
              </w:rPr>
              <w:t>中国证券监督管理委员会福建监管局决定对实际控制人， 控股股东陈某忠采</w:t>
            </w:r>
            <w:r>
              <w:rPr/>
              <w:t xml:space="preserve"> </w:t>
            </w:r>
            <w:r>
              <w:rPr>
                <w:spacing w:val="7"/>
              </w:rPr>
              <w:t>取出具警示函的监督管理措施， 并记入证券期货市场诚信档案数据库。</w:t>
            </w:r>
          </w:p>
        </w:tc>
      </w:tr>
      <w:tr>
        <w:trPr>
          <w:trHeight w:val="1085" w:hRule="atLeast"/>
        </w:trPr>
        <w:tc>
          <w:tcPr>
            <w:shd w:val="clear" w:fill="B8CCE4"/>
            <w:tcW w:w="1059" w:type="dxa"/>
            <w:vAlign w:val="top"/>
          </w:tcPr>
          <w:p>
            <w:pPr>
              <w:spacing w:line="368" w:lineRule="auto"/>
              <w:rPr>
                <w:rFonts w:ascii="Arial"/>
                <w:sz w:val="21"/>
              </w:rPr>
            </w:pPr>
            <w:r/>
          </w:p>
          <w:p>
            <w:pPr>
              <w:pStyle w:val="TableText"/>
              <w:ind w:left="160"/>
              <w:spacing w:before="86" w:line="178" w:lineRule="auto"/>
              <w:rPr/>
            </w:pPr>
            <w:r>
              <w:rPr>
                <w:spacing w:val="3"/>
              </w:rPr>
              <w:t>000056</w:t>
            </w:r>
          </w:p>
        </w:tc>
        <w:tc>
          <w:tcPr>
            <w:shd w:val="clear" w:fill="B8CCE4"/>
            <w:tcW w:w="1343" w:type="dxa"/>
            <w:vAlign w:val="top"/>
          </w:tcPr>
          <w:p>
            <w:pPr>
              <w:spacing w:line="354" w:lineRule="auto"/>
              <w:rPr>
                <w:rFonts w:ascii="Arial"/>
                <w:sz w:val="21"/>
              </w:rPr>
            </w:pPr>
            <w:r/>
          </w:p>
          <w:p>
            <w:pPr>
              <w:pStyle w:val="TableText"/>
              <w:ind w:left="242"/>
              <w:spacing w:before="85" w:line="189" w:lineRule="auto"/>
              <w:rPr/>
            </w:pPr>
            <w:r>
              <w:rPr>
                <w:spacing w:val="8"/>
              </w:rPr>
              <w:t>皇庭国际</w:t>
            </w:r>
          </w:p>
        </w:tc>
        <w:tc>
          <w:tcPr>
            <w:shd w:val="clear" w:fill="B8CCE4"/>
            <w:tcW w:w="6530" w:type="dxa"/>
            <w:vAlign w:val="top"/>
          </w:tcPr>
          <w:p>
            <w:pPr>
              <w:pStyle w:val="TableText"/>
              <w:ind w:left="99" w:right="103"/>
              <w:spacing w:before="41" w:line="241" w:lineRule="auto"/>
              <w:jc w:val="both"/>
              <w:rPr/>
            </w:pPr>
            <w:r>
              <w:rPr>
                <w:spacing w:val="7"/>
              </w:rPr>
              <w:t>大股东所持皇庭国际的股份比例因司法强制执行</w:t>
            </w:r>
            <w:r>
              <w:rPr>
                <w:b/>
                <w:bCs/>
                <w:spacing w:val="7"/>
              </w:rPr>
              <w:t>累计减少1.25%， </w:t>
            </w:r>
            <w:r>
              <w:rPr>
                <w:spacing w:val="7"/>
              </w:rPr>
              <w:t>股</w:t>
            </w:r>
            <w:r>
              <w:rPr>
                <w:spacing w:val="6"/>
              </w:rPr>
              <w:t xml:space="preserve"> </w:t>
            </w:r>
            <w:r>
              <w:rPr>
                <w:spacing w:val="11"/>
              </w:rPr>
              <w:t>份比例变动达1%， 但深圳市皇庭投资管理有限公司未按规定及时履</w:t>
            </w:r>
            <w:r>
              <w:rPr>
                <w:spacing w:val="13"/>
              </w:rPr>
              <w:t xml:space="preserve"> </w:t>
            </w:r>
            <w:r>
              <w:rPr>
                <w:spacing w:val="8"/>
              </w:rPr>
              <w:t>行报告、公告义务。</w:t>
            </w:r>
          </w:p>
        </w:tc>
      </w:tr>
      <w:tr>
        <w:trPr>
          <w:trHeight w:val="724" w:hRule="atLeast"/>
        </w:trPr>
        <w:tc>
          <w:tcPr>
            <w:tcW w:w="8932" w:type="dxa"/>
            <w:vAlign w:val="top"/>
            <w:gridSpan w:val="3"/>
          </w:tcPr>
          <w:p>
            <w:pPr>
              <w:pStyle w:val="TableText"/>
              <w:ind w:left="106" w:right="204" w:firstLine="17"/>
              <w:spacing w:before="39" w:line="236" w:lineRule="auto"/>
              <w:rPr/>
            </w:pPr>
            <w:r>
              <w:rPr>
                <w:b/>
                <w:bCs/>
                <w:spacing w:val="9"/>
              </w:rPr>
              <w:t>【行政监管措施】</w:t>
            </w:r>
            <w:r>
              <w:rPr>
                <w:b/>
                <w:bCs/>
                <w:spacing w:val="-29"/>
              </w:rPr>
              <w:t xml:space="preserve"> </w:t>
            </w:r>
            <w:r>
              <w:rPr>
                <w:spacing w:val="9"/>
              </w:rPr>
              <w:t>中国证券监督管理委员会深圳监管局决定对深圳</w:t>
            </w:r>
            <w:r>
              <w:rPr>
                <w:spacing w:val="8"/>
              </w:rPr>
              <w:t>市皇庭投资管理有限公司采</w:t>
            </w:r>
            <w:r>
              <w:rPr/>
              <w:t xml:space="preserve"> </w:t>
            </w:r>
            <w:r>
              <w:rPr>
                <w:spacing w:val="8"/>
              </w:rPr>
              <w:t>取出具警示函的行政监管措施。</w:t>
            </w:r>
          </w:p>
        </w:tc>
      </w:tr>
      <w:tr>
        <w:trPr>
          <w:trHeight w:val="1445" w:hRule="atLeast"/>
        </w:trPr>
        <w:tc>
          <w:tcPr>
            <w:shd w:val="clear" w:fill="B8CCE4"/>
            <w:tcW w:w="1059" w:type="dxa"/>
            <w:vAlign w:val="top"/>
          </w:tcPr>
          <w:p>
            <w:pPr>
              <w:spacing w:line="273" w:lineRule="auto"/>
              <w:rPr>
                <w:rFonts w:ascii="Arial"/>
                <w:sz w:val="21"/>
              </w:rPr>
            </w:pPr>
            <w:r/>
          </w:p>
          <w:p>
            <w:pPr>
              <w:spacing w:line="274" w:lineRule="auto"/>
              <w:rPr>
                <w:rFonts w:ascii="Arial"/>
                <w:sz w:val="21"/>
              </w:rPr>
            </w:pPr>
            <w:r/>
          </w:p>
          <w:p>
            <w:pPr>
              <w:pStyle w:val="TableText"/>
              <w:ind w:left="163"/>
              <w:spacing w:before="86" w:line="179" w:lineRule="auto"/>
              <w:rPr/>
            </w:pPr>
            <w:r>
              <w:rPr>
                <w:spacing w:val="3"/>
              </w:rPr>
              <w:t>600167</w:t>
            </w:r>
          </w:p>
        </w:tc>
        <w:tc>
          <w:tcPr>
            <w:shd w:val="clear" w:fill="B8CCE4"/>
            <w:tcW w:w="1343" w:type="dxa"/>
            <w:vAlign w:val="top"/>
          </w:tcPr>
          <w:p>
            <w:pPr>
              <w:spacing w:line="266" w:lineRule="auto"/>
              <w:rPr>
                <w:rFonts w:ascii="Arial"/>
                <w:sz w:val="21"/>
              </w:rPr>
            </w:pPr>
            <w:r/>
          </w:p>
          <w:p>
            <w:pPr>
              <w:spacing w:line="267" w:lineRule="auto"/>
              <w:rPr>
                <w:rFonts w:ascii="Arial"/>
                <w:sz w:val="21"/>
              </w:rPr>
            </w:pPr>
            <w:r/>
          </w:p>
          <w:p>
            <w:pPr>
              <w:pStyle w:val="TableText"/>
              <w:ind w:left="240"/>
              <w:spacing w:before="86" w:line="190" w:lineRule="auto"/>
              <w:rPr/>
            </w:pPr>
            <w:r>
              <w:rPr>
                <w:spacing w:val="8"/>
              </w:rPr>
              <w:t>联美控股</w:t>
            </w:r>
          </w:p>
        </w:tc>
        <w:tc>
          <w:tcPr>
            <w:shd w:val="clear" w:fill="B8CCE4"/>
            <w:tcW w:w="6530" w:type="dxa"/>
            <w:vAlign w:val="top"/>
          </w:tcPr>
          <w:p>
            <w:pPr>
              <w:pStyle w:val="TableText"/>
              <w:ind w:left="98" w:right="103"/>
              <w:spacing w:before="85" w:line="236" w:lineRule="auto"/>
              <w:jc w:val="both"/>
              <w:rPr/>
            </w:pPr>
            <w:r>
              <w:rPr>
                <w:b/>
                <w:bCs/>
                <w:spacing w:val="16"/>
              </w:rPr>
              <w:t>募投项目延期</w:t>
            </w:r>
            <w:r>
              <w:rPr>
                <w:spacing w:val="16"/>
              </w:rPr>
              <w:t>情况未及时履行审议程序</w:t>
            </w:r>
            <w:r>
              <w:rPr>
                <w:spacing w:val="-29"/>
              </w:rPr>
              <w:t xml:space="preserve"> </w:t>
            </w:r>
            <w:r>
              <w:rPr>
                <w:spacing w:val="16"/>
              </w:rPr>
              <w:t>。</w:t>
            </w:r>
            <w:r>
              <w:rPr>
                <w:spacing w:val="-29"/>
              </w:rPr>
              <w:t xml:space="preserve"> </w:t>
            </w:r>
            <w:r>
              <w:rPr>
                <w:spacing w:val="16"/>
              </w:rPr>
              <w:t>2018年至2023年公告的</w:t>
            </w:r>
            <w:r>
              <w:rPr/>
              <w:t xml:space="preserve"> </w:t>
            </w:r>
            <w:r>
              <w:rPr>
                <w:spacing w:val="10"/>
              </w:rPr>
              <w:t>《募集资金存放与实际使用情况的专项报告》仅对延期募投项目的原</w:t>
            </w:r>
            <w:r>
              <w:rPr>
                <w:spacing w:val="11"/>
              </w:rPr>
              <w:t xml:space="preserve"> </w:t>
            </w:r>
            <w:r>
              <w:rPr>
                <w:spacing w:val="8"/>
              </w:rPr>
              <w:t>定达到可使用状态的时间进行了披露， 未准确披露相关延期募投项目</w:t>
            </w:r>
            <w:r>
              <w:rPr>
                <w:spacing w:val="4"/>
              </w:rPr>
              <w:t xml:space="preserve"> </w:t>
            </w:r>
            <w:r>
              <w:rPr>
                <w:spacing w:val="9"/>
              </w:rPr>
              <w:t>延期后预计达到可使用状态的时间。</w:t>
            </w:r>
          </w:p>
        </w:tc>
      </w:tr>
      <w:tr>
        <w:trPr>
          <w:trHeight w:val="1085" w:hRule="atLeast"/>
        </w:trPr>
        <w:tc>
          <w:tcPr>
            <w:tcW w:w="8932" w:type="dxa"/>
            <w:vAlign w:val="top"/>
            <w:gridSpan w:val="3"/>
          </w:tcPr>
          <w:p>
            <w:pPr>
              <w:pStyle w:val="TableText"/>
              <w:ind w:left="105" w:right="204" w:firstLine="18"/>
              <w:spacing w:before="41" w:line="241" w:lineRule="auto"/>
              <w:jc w:val="both"/>
              <w:rPr/>
            </w:pPr>
            <w:r>
              <w:rPr>
                <w:b/>
                <w:bCs/>
                <w:spacing w:val="9"/>
              </w:rPr>
              <w:t>【行政监管措施】</w:t>
            </w:r>
            <w:r>
              <w:rPr>
                <w:b/>
                <w:bCs/>
                <w:spacing w:val="-29"/>
              </w:rPr>
              <w:t xml:space="preserve"> </w:t>
            </w:r>
            <w:r>
              <w:rPr>
                <w:spacing w:val="9"/>
              </w:rPr>
              <w:t>中国证券监督管理委员会辽宁监管局决定对联美</w:t>
            </w:r>
            <w:r>
              <w:rPr>
                <w:spacing w:val="8"/>
              </w:rPr>
              <w:t>量子股份有限公司、董事长</w:t>
            </w:r>
            <w:r>
              <w:rPr/>
              <w:t xml:space="preserve"> </w:t>
            </w:r>
            <w:r>
              <w:rPr>
                <w:spacing w:val="9"/>
              </w:rPr>
              <w:t>苏某强、</w:t>
            </w:r>
            <w:r>
              <w:rPr>
                <w:spacing w:val="-22"/>
              </w:rPr>
              <w:t xml:space="preserve"> </w:t>
            </w:r>
            <w:r>
              <w:rPr>
                <w:spacing w:val="9"/>
              </w:rPr>
              <w:t>时任总经理朱某一、时任总经理张某森、董事会秘书刘某生采取出具警示函的监督管</w:t>
            </w:r>
            <w:r>
              <w:rPr/>
              <w:t xml:space="preserve"> </w:t>
            </w:r>
            <w:r>
              <w:rPr>
                <w:spacing w:val="5"/>
              </w:rPr>
              <w:t>理措施， 并记入证券期货市场诚信档案。</w:t>
            </w:r>
          </w:p>
        </w:tc>
      </w:tr>
      <w:tr>
        <w:trPr>
          <w:trHeight w:val="1084" w:hRule="atLeast"/>
        </w:trPr>
        <w:tc>
          <w:tcPr>
            <w:shd w:val="clear" w:fill="B8CCE4"/>
            <w:tcW w:w="1059" w:type="dxa"/>
            <w:vAlign w:val="top"/>
          </w:tcPr>
          <w:p>
            <w:pPr>
              <w:spacing w:line="371" w:lineRule="auto"/>
              <w:rPr>
                <w:rFonts w:ascii="Arial"/>
                <w:sz w:val="21"/>
              </w:rPr>
            </w:pPr>
            <w:r/>
          </w:p>
          <w:p>
            <w:pPr>
              <w:pStyle w:val="TableText"/>
              <w:ind w:left="163"/>
              <w:spacing w:before="86" w:line="178" w:lineRule="auto"/>
              <w:rPr/>
            </w:pPr>
            <w:r>
              <w:rPr>
                <w:spacing w:val="3"/>
              </w:rPr>
              <w:t>603003</w:t>
            </w:r>
          </w:p>
        </w:tc>
        <w:tc>
          <w:tcPr>
            <w:shd w:val="clear" w:fill="B8CCE4"/>
            <w:tcW w:w="1343" w:type="dxa"/>
            <w:vAlign w:val="top"/>
          </w:tcPr>
          <w:p>
            <w:pPr>
              <w:spacing w:line="356" w:lineRule="auto"/>
              <w:rPr>
                <w:rFonts w:ascii="Arial"/>
                <w:sz w:val="21"/>
              </w:rPr>
            </w:pPr>
            <w:r/>
          </w:p>
          <w:p>
            <w:pPr>
              <w:pStyle w:val="TableText"/>
              <w:ind w:left="288"/>
              <w:spacing w:before="86" w:line="189" w:lineRule="auto"/>
              <w:rPr/>
            </w:pPr>
            <w:r>
              <w:rPr>
                <w:spacing w:val="8"/>
              </w:rPr>
              <w:t>*</w:t>
            </w:r>
            <w:r>
              <w:rPr/>
              <w:t>ST</w:t>
            </w:r>
            <w:r>
              <w:rPr>
                <w:spacing w:val="8"/>
              </w:rPr>
              <w:t>龙宇</w:t>
            </w:r>
          </w:p>
        </w:tc>
        <w:tc>
          <w:tcPr>
            <w:shd w:val="clear" w:fill="B8CCE4"/>
            <w:tcW w:w="6530" w:type="dxa"/>
            <w:vAlign w:val="top"/>
          </w:tcPr>
          <w:p>
            <w:pPr>
              <w:pStyle w:val="TableText"/>
              <w:ind w:left="98" w:right="103" w:firstLine="3"/>
              <w:spacing w:before="83" w:line="231" w:lineRule="auto"/>
              <w:jc w:val="both"/>
              <w:rPr/>
            </w:pPr>
            <w:r>
              <w:rPr>
                <w:spacing w:val="8"/>
              </w:rPr>
              <w:t>上海龙宇数据股份有限公司独立董事及审计委员会主任委员， 未勤勉</w:t>
            </w:r>
            <w:r>
              <w:rPr/>
              <w:t xml:space="preserve"> </w:t>
            </w:r>
            <w:r>
              <w:rPr>
                <w:spacing w:val="12"/>
              </w:rPr>
              <w:t>尽责， 未在2023年度独立董事述职报告及审计委员会履职情况报告</w:t>
            </w:r>
            <w:r>
              <w:rPr/>
              <w:t xml:space="preserve"> </w:t>
            </w:r>
            <w:r>
              <w:rPr>
                <w:spacing w:val="8"/>
              </w:rPr>
              <w:t>中真实反映情况。</w:t>
            </w:r>
          </w:p>
        </w:tc>
      </w:tr>
      <w:tr>
        <w:trPr>
          <w:trHeight w:val="725" w:hRule="atLeast"/>
        </w:trPr>
        <w:tc>
          <w:tcPr>
            <w:tcW w:w="8932" w:type="dxa"/>
            <w:vAlign w:val="top"/>
            <w:gridSpan w:val="3"/>
          </w:tcPr>
          <w:p>
            <w:pPr>
              <w:pStyle w:val="TableText"/>
              <w:ind w:left="115" w:right="207" w:firstLine="8"/>
              <w:spacing w:before="45" w:line="234" w:lineRule="auto"/>
              <w:rPr/>
            </w:pPr>
            <w:r>
              <w:rPr>
                <w:b/>
                <w:bCs/>
                <w:spacing w:val="9"/>
              </w:rPr>
              <w:t>【行政监管措施</w:t>
            </w:r>
            <w:r>
              <w:rPr>
                <w:spacing w:val="9"/>
              </w:rPr>
              <w:t>】</w:t>
            </w:r>
            <w:r>
              <w:rPr>
                <w:spacing w:val="-31"/>
              </w:rPr>
              <w:t xml:space="preserve"> </w:t>
            </w:r>
            <w:r>
              <w:rPr>
                <w:spacing w:val="9"/>
              </w:rPr>
              <w:t>中国证券监督管理委员会上海监管局决定对独立</w:t>
            </w:r>
            <w:r>
              <w:rPr>
                <w:spacing w:val="8"/>
              </w:rPr>
              <w:t>董事何某云采取出具警示函</w:t>
            </w:r>
            <w:r>
              <w:rPr/>
              <w:t xml:space="preserve"> </w:t>
            </w:r>
            <w:r>
              <w:rPr>
                <w:spacing w:val="7"/>
              </w:rPr>
              <w:t>的监督管理措施。</w:t>
            </w:r>
          </w:p>
        </w:tc>
      </w:tr>
      <w:tr>
        <w:trPr>
          <w:trHeight w:val="365" w:hRule="atLeast"/>
        </w:trPr>
        <w:tc>
          <w:tcPr>
            <w:shd w:val="clear" w:fill="B8CCE4"/>
            <w:tcW w:w="1059" w:type="dxa"/>
            <w:vAlign w:val="top"/>
          </w:tcPr>
          <w:p>
            <w:pPr>
              <w:pStyle w:val="TableText"/>
              <w:ind w:left="163"/>
              <w:spacing w:before="103" w:line="176" w:lineRule="auto"/>
              <w:rPr/>
            </w:pPr>
            <w:r>
              <w:rPr>
                <w:spacing w:val="3"/>
              </w:rPr>
              <w:t>603275</w:t>
            </w:r>
          </w:p>
        </w:tc>
        <w:tc>
          <w:tcPr>
            <w:shd w:val="clear" w:fill="B8CCE4"/>
            <w:tcW w:w="1343" w:type="dxa"/>
            <w:vAlign w:val="top"/>
          </w:tcPr>
          <w:p>
            <w:pPr>
              <w:pStyle w:val="TableText"/>
              <w:ind w:left="238"/>
              <w:spacing w:before="90" w:line="185" w:lineRule="auto"/>
              <w:rPr/>
            </w:pPr>
            <w:r>
              <w:rPr>
                <w:spacing w:val="9"/>
              </w:rPr>
              <w:t>众辰科技</w:t>
            </w:r>
          </w:p>
        </w:tc>
        <w:tc>
          <w:tcPr>
            <w:shd w:val="clear" w:fill="B8CCE4"/>
            <w:tcW w:w="6530" w:type="dxa"/>
            <w:vAlign w:val="top"/>
          </w:tcPr>
          <w:p>
            <w:pPr>
              <w:pStyle w:val="TableText"/>
              <w:ind w:left="100"/>
              <w:spacing w:before="87" w:line="187" w:lineRule="auto"/>
              <w:rPr/>
            </w:pPr>
            <w:r>
              <w:rPr>
                <w:spacing w:val="8"/>
              </w:rPr>
              <w:t>独立董事</w:t>
            </w:r>
            <w:r>
              <w:rPr>
                <w:b/>
                <w:bCs/>
                <w:spacing w:val="8"/>
              </w:rPr>
              <w:t>短线交易</w:t>
            </w:r>
            <w:r>
              <w:rPr>
                <w:spacing w:val="8"/>
              </w:rPr>
              <w:t>。</w:t>
            </w:r>
          </w:p>
        </w:tc>
      </w:tr>
      <w:tr>
        <w:trPr>
          <w:trHeight w:val="724" w:hRule="atLeast"/>
        </w:trPr>
        <w:tc>
          <w:tcPr>
            <w:tcW w:w="8932" w:type="dxa"/>
            <w:vAlign w:val="top"/>
            <w:gridSpan w:val="3"/>
          </w:tcPr>
          <w:p>
            <w:pPr>
              <w:pStyle w:val="TableText"/>
              <w:ind w:left="115" w:right="103" w:firstLine="8"/>
              <w:spacing w:before="47" w:line="233" w:lineRule="auto"/>
              <w:rPr/>
            </w:pPr>
            <w:r>
              <w:rPr>
                <w:b/>
                <w:bCs/>
                <w:spacing w:val="11"/>
              </w:rPr>
              <w:t>【行政监管措施】</w:t>
            </w:r>
            <w:r>
              <w:rPr>
                <w:b/>
                <w:bCs/>
                <w:spacing w:val="-23"/>
              </w:rPr>
              <w:t xml:space="preserve"> </w:t>
            </w:r>
            <w:r>
              <w:rPr>
                <w:spacing w:val="11"/>
              </w:rPr>
              <w:t>中国证券监督管理委员会上海监管局决定对独立董事蒋某军采取出具警示函</w:t>
            </w:r>
            <w:r>
              <w:rPr/>
              <w:t xml:space="preserve"> </w:t>
            </w:r>
            <w:r>
              <w:rPr>
                <w:spacing w:val="7"/>
              </w:rPr>
              <w:t>的行政监管措施。</w:t>
            </w:r>
          </w:p>
        </w:tc>
      </w:tr>
      <w:tr>
        <w:trPr>
          <w:trHeight w:val="366" w:hRule="atLeast"/>
        </w:trPr>
        <w:tc>
          <w:tcPr>
            <w:shd w:val="clear" w:fill="B8CCE4"/>
            <w:tcW w:w="1059" w:type="dxa"/>
            <w:vAlign w:val="top"/>
          </w:tcPr>
          <w:p>
            <w:pPr>
              <w:pStyle w:val="TableText"/>
              <w:ind w:left="163"/>
              <w:spacing w:before="104" w:line="176" w:lineRule="auto"/>
              <w:rPr/>
            </w:pPr>
            <w:r>
              <w:rPr>
                <w:spacing w:val="3"/>
              </w:rPr>
              <w:t>688519</w:t>
            </w:r>
          </w:p>
        </w:tc>
        <w:tc>
          <w:tcPr>
            <w:shd w:val="clear" w:fill="B8CCE4"/>
            <w:tcW w:w="1343" w:type="dxa"/>
            <w:vAlign w:val="top"/>
          </w:tcPr>
          <w:p>
            <w:pPr>
              <w:pStyle w:val="TableText"/>
              <w:ind w:left="242"/>
              <w:spacing w:before="90" w:line="186" w:lineRule="auto"/>
              <w:rPr/>
            </w:pPr>
            <w:r>
              <w:rPr>
                <w:spacing w:val="8"/>
              </w:rPr>
              <w:t>南亚新材</w:t>
            </w:r>
          </w:p>
        </w:tc>
        <w:tc>
          <w:tcPr>
            <w:shd w:val="clear" w:fill="B8CCE4"/>
            <w:tcW w:w="6530" w:type="dxa"/>
            <w:vAlign w:val="top"/>
          </w:tcPr>
          <w:p>
            <w:pPr>
              <w:pStyle w:val="TableText"/>
              <w:ind w:left="100"/>
              <w:spacing w:before="88" w:line="187" w:lineRule="auto"/>
              <w:rPr/>
            </w:pPr>
            <w:r>
              <w:rPr>
                <w:spacing w:val="8"/>
              </w:rPr>
              <w:t>独立董事</w:t>
            </w:r>
            <w:r>
              <w:rPr>
                <w:b/>
                <w:bCs/>
                <w:spacing w:val="8"/>
              </w:rPr>
              <w:t>短线交易</w:t>
            </w:r>
            <w:r>
              <w:rPr>
                <w:spacing w:val="8"/>
              </w:rPr>
              <w:t>。</w:t>
            </w:r>
          </w:p>
        </w:tc>
      </w:tr>
      <w:tr>
        <w:trPr>
          <w:trHeight w:val="724" w:hRule="atLeast"/>
        </w:trPr>
        <w:tc>
          <w:tcPr>
            <w:tcW w:w="8932" w:type="dxa"/>
            <w:vAlign w:val="top"/>
            <w:gridSpan w:val="3"/>
          </w:tcPr>
          <w:p>
            <w:pPr>
              <w:pStyle w:val="TableText"/>
              <w:ind w:left="115" w:right="204" w:firstLine="8"/>
              <w:spacing w:before="44" w:line="234" w:lineRule="auto"/>
              <w:rPr/>
            </w:pPr>
            <w:r>
              <w:rPr>
                <w:b/>
                <w:bCs/>
                <w:spacing w:val="9"/>
              </w:rPr>
              <w:t>【行政监管措施】</w:t>
            </w:r>
            <w:r>
              <w:rPr>
                <w:b/>
                <w:bCs/>
                <w:spacing w:val="-29"/>
              </w:rPr>
              <w:t xml:space="preserve"> </w:t>
            </w:r>
            <w:r>
              <w:rPr>
                <w:spacing w:val="9"/>
              </w:rPr>
              <w:t>中国证券监督管理委员会上海监管局决定对独立</w:t>
            </w:r>
            <w:r>
              <w:rPr>
                <w:spacing w:val="8"/>
              </w:rPr>
              <w:t>董事郑某远采取出具警示函</w:t>
            </w:r>
            <w:r>
              <w:rPr/>
              <w:t xml:space="preserve"> </w:t>
            </w:r>
            <w:r>
              <w:rPr>
                <w:spacing w:val="7"/>
              </w:rPr>
              <w:t>的行政监管措施。</w:t>
            </w:r>
          </w:p>
        </w:tc>
      </w:tr>
      <w:tr>
        <w:trPr>
          <w:trHeight w:val="1804" w:hRule="atLeast"/>
        </w:trPr>
        <w:tc>
          <w:tcPr>
            <w:shd w:val="clear" w:fill="B8CCE4"/>
            <w:tcW w:w="1059"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63"/>
              <w:spacing w:before="86" w:line="178" w:lineRule="auto"/>
              <w:rPr/>
            </w:pPr>
            <w:r>
              <w:rPr>
                <w:spacing w:val="3"/>
              </w:rPr>
              <w:t>603050</w:t>
            </w:r>
          </w:p>
        </w:tc>
        <w:tc>
          <w:tcPr>
            <w:shd w:val="clear" w:fill="B8CCE4"/>
            <w:tcW w:w="1343" w:type="dxa"/>
            <w:vAlign w:val="top"/>
          </w:tcPr>
          <w:p>
            <w:pPr>
              <w:rPr>
                <w:rFonts w:ascii="Arial"/>
                <w:sz w:val="21"/>
              </w:rPr>
            </w:pPr>
            <w:r/>
          </w:p>
          <w:p>
            <w:pPr>
              <w:rPr>
                <w:rFonts w:ascii="Arial"/>
                <w:sz w:val="21"/>
              </w:rPr>
            </w:pPr>
            <w:r/>
          </w:p>
          <w:p>
            <w:pPr>
              <w:spacing w:line="241" w:lineRule="auto"/>
              <w:rPr>
                <w:rFonts w:ascii="Arial"/>
                <w:sz w:val="21"/>
              </w:rPr>
            </w:pPr>
            <w:r/>
          </w:p>
          <w:p>
            <w:pPr>
              <w:pStyle w:val="TableText"/>
              <w:ind w:left="239"/>
              <w:spacing w:before="85" w:line="189" w:lineRule="auto"/>
              <w:rPr/>
            </w:pPr>
            <w:r>
              <w:rPr>
                <w:spacing w:val="8"/>
              </w:rPr>
              <w:t>科林电气</w:t>
            </w:r>
          </w:p>
        </w:tc>
        <w:tc>
          <w:tcPr>
            <w:shd w:val="clear" w:fill="B8CCE4"/>
            <w:tcW w:w="6530" w:type="dxa"/>
            <w:vAlign w:val="top"/>
          </w:tcPr>
          <w:p>
            <w:pPr>
              <w:pStyle w:val="TableText"/>
              <w:ind w:left="98" w:right="103"/>
              <w:spacing w:before="49" w:line="244" w:lineRule="auto"/>
              <w:rPr/>
            </w:pPr>
            <w:r>
              <w:rPr>
                <w:spacing w:val="22"/>
              </w:rPr>
              <w:t>《石家庄科林电气股份有限公司详式权益变动报告书 （二次修订</w:t>
            </w:r>
            <w:r>
              <w:rPr>
                <w:spacing w:val="14"/>
              </w:rPr>
              <w:t xml:space="preserve"> </w:t>
            </w:r>
            <w:r>
              <w:rPr>
                <w:spacing w:val="8"/>
              </w:rPr>
              <w:t>稿） 》披露的</w:t>
            </w:r>
            <w:r>
              <w:rPr>
                <w:b/>
                <w:bCs/>
                <w:spacing w:val="8"/>
              </w:rPr>
              <w:t>资金来源</w:t>
            </w:r>
            <w:r>
              <w:rPr>
                <w:spacing w:val="8"/>
              </w:rPr>
              <w:t>不符合《公开发行证券的公司信息披露内容与</w:t>
            </w:r>
            <w:r>
              <w:rPr>
                <w:spacing w:val="4"/>
              </w:rPr>
              <w:t xml:space="preserve"> </w:t>
            </w:r>
            <w:r>
              <w:rPr>
                <w:spacing w:val="8"/>
              </w:rPr>
              <w:t>格式准则第15号—权益变动报告书 （2020年修订） 》第四十一条、</w:t>
            </w:r>
            <w:r>
              <w:rPr>
                <w:spacing w:val="1"/>
              </w:rPr>
              <w:t xml:space="preserve"> </w:t>
            </w:r>
            <w:r>
              <w:rPr>
                <w:spacing w:val="15"/>
              </w:rPr>
              <w:t>《公开发行证券的公司信息披露内容与格式准则第16号—上市公司</w:t>
            </w:r>
            <w:r>
              <w:rPr>
                <w:spacing w:val="11"/>
              </w:rPr>
              <w:t xml:space="preserve"> </w:t>
            </w:r>
            <w:r>
              <w:rPr>
                <w:spacing w:val="3"/>
              </w:rPr>
              <w:t>收购报告书 （2020年修订） 》第三十四条第一项。</w:t>
            </w:r>
          </w:p>
        </w:tc>
      </w:tr>
      <w:tr>
        <w:trPr>
          <w:trHeight w:val="725" w:hRule="atLeast"/>
        </w:trPr>
        <w:tc>
          <w:tcPr>
            <w:tcW w:w="8932" w:type="dxa"/>
            <w:vAlign w:val="top"/>
            <w:gridSpan w:val="3"/>
          </w:tcPr>
          <w:p>
            <w:pPr>
              <w:pStyle w:val="TableText"/>
              <w:ind w:left="106" w:right="204" w:firstLine="17"/>
              <w:spacing w:before="51" w:line="232" w:lineRule="auto"/>
              <w:rPr/>
            </w:pPr>
            <w:r>
              <w:rPr>
                <w:b/>
                <w:bCs/>
                <w:spacing w:val="9"/>
              </w:rPr>
              <w:t>【行政监管措施】</w:t>
            </w:r>
            <w:r>
              <w:rPr>
                <w:b/>
                <w:bCs/>
                <w:spacing w:val="-29"/>
              </w:rPr>
              <w:t xml:space="preserve"> </w:t>
            </w:r>
            <w:r>
              <w:rPr>
                <w:spacing w:val="9"/>
              </w:rPr>
              <w:t>中国证券监督管理委员会河北监管局决定对青岛</w:t>
            </w:r>
            <w:r>
              <w:rPr>
                <w:spacing w:val="8"/>
              </w:rPr>
              <w:t>海信网络能源股份有限公司</w:t>
            </w:r>
            <w:r>
              <w:rPr/>
              <w:t xml:space="preserve"> </w:t>
            </w:r>
            <w:r>
              <w:rPr>
                <w:spacing w:val="8"/>
              </w:rPr>
              <w:t>采取出具警示函的行政监管措施。</w:t>
            </w:r>
          </w:p>
        </w:tc>
      </w:tr>
      <w:tr>
        <w:trPr>
          <w:trHeight w:val="365" w:hRule="atLeast"/>
        </w:trPr>
        <w:tc>
          <w:tcPr>
            <w:shd w:val="clear" w:fill="B8CCE4"/>
            <w:tcW w:w="1059" w:type="dxa"/>
            <w:vAlign w:val="top"/>
          </w:tcPr>
          <w:p>
            <w:pPr>
              <w:pStyle w:val="TableText"/>
              <w:ind w:left="163"/>
              <w:spacing w:before="107" w:line="173" w:lineRule="auto"/>
              <w:rPr/>
            </w:pPr>
            <w:r>
              <w:rPr>
                <w:spacing w:val="3"/>
              </w:rPr>
              <w:t>603050</w:t>
            </w:r>
          </w:p>
        </w:tc>
        <w:tc>
          <w:tcPr>
            <w:shd w:val="clear" w:fill="B8CCE4"/>
            <w:tcW w:w="1343" w:type="dxa"/>
            <w:vAlign w:val="top"/>
          </w:tcPr>
          <w:p>
            <w:pPr>
              <w:pStyle w:val="TableText"/>
              <w:ind w:left="239"/>
              <w:spacing w:before="93" w:line="183" w:lineRule="auto"/>
              <w:rPr/>
            </w:pPr>
            <w:r>
              <w:rPr>
                <w:spacing w:val="8"/>
              </w:rPr>
              <w:t>科林电气</w:t>
            </w:r>
          </w:p>
        </w:tc>
        <w:tc>
          <w:tcPr>
            <w:shd w:val="clear" w:fill="B8CCE4"/>
            <w:tcW w:w="6530" w:type="dxa"/>
            <w:vAlign w:val="top"/>
          </w:tcPr>
          <w:p>
            <w:pPr>
              <w:pStyle w:val="TableText"/>
              <w:ind w:left="108"/>
              <w:spacing w:before="93" w:line="183" w:lineRule="auto"/>
              <w:rPr/>
            </w:pPr>
            <w:r>
              <w:rPr>
                <w:spacing w:val="7"/>
              </w:rPr>
              <w:t>时任监事配偶</w:t>
            </w:r>
            <w:r>
              <w:rPr>
                <w:b/>
                <w:bCs/>
                <w:spacing w:val="7"/>
              </w:rPr>
              <w:t>短线交易。</w:t>
            </w:r>
          </w:p>
        </w:tc>
      </w:tr>
      <w:tr>
        <w:trPr>
          <w:trHeight w:val="724" w:hRule="atLeast"/>
        </w:trPr>
        <w:tc>
          <w:tcPr>
            <w:tcW w:w="8932" w:type="dxa"/>
            <w:vAlign w:val="top"/>
            <w:gridSpan w:val="3"/>
          </w:tcPr>
          <w:p>
            <w:pPr>
              <w:pStyle w:val="TableText"/>
              <w:ind w:left="115" w:right="204" w:firstLine="8"/>
              <w:spacing w:before="47" w:line="233" w:lineRule="auto"/>
              <w:rPr/>
            </w:pPr>
            <w:r>
              <w:rPr>
                <w:b/>
                <w:bCs/>
                <w:spacing w:val="9"/>
              </w:rPr>
              <w:t>【行政监管措施】</w:t>
            </w:r>
            <w:r>
              <w:rPr>
                <w:b/>
                <w:bCs/>
                <w:spacing w:val="-29"/>
              </w:rPr>
              <w:t xml:space="preserve"> </w:t>
            </w:r>
            <w:r>
              <w:rPr>
                <w:spacing w:val="9"/>
              </w:rPr>
              <w:t>中国证券监督管理委员会河北监管局决定对时任</w:t>
            </w:r>
            <w:r>
              <w:rPr>
                <w:spacing w:val="8"/>
              </w:rPr>
              <w:t>监事邱某勇采取出具警示函</w:t>
            </w:r>
            <w:r>
              <w:rPr/>
              <w:t xml:space="preserve"> </w:t>
            </w:r>
            <w:r>
              <w:rPr>
                <w:spacing w:val="7"/>
              </w:rPr>
              <w:t>的行政监管措施。</w:t>
            </w:r>
          </w:p>
        </w:tc>
      </w:tr>
      <w:tr>
        <w:trPr>
          <w:trHeight w:val="366" w:hRule="atLeast"/>
        </w:trPr>
        <w:tc>
          <w:tcPr>
            <w:shd w:val="clear" w:fill="B8CCE4"/>
            <w:tcW w:w="1059" w:type="dxa"/>
            <w:vAlign w:val="top"/>
          </w:tcPr>
          <w:p>
            <w:pPr>
              <w:pStyle w:val="TableText"/>
              <w:ind w:left="163"/>
              <w:spacing w:before="108" w:line="173" w:lineRule="auto"/>
              <w:rPr/>
            </w:pPr>
            <w:r>
              <w:rPr>
                <w:spacing w:val="3"/>
              </w:rPr>
              <w:t>603050</w:t>
            </w:r>
          </w:p>
        </w:tc>
        <w:tc>
          <w:tcPr>
            <w:shd w:val="clear" w:fill="B8CCE4"/>
            <w:tcW w:w="1343" w:type="dxa"/>
            <w:vAlign w:val="top"/>
          </w:tcPr>
          <w:p>
            <w:pPr>
              <w:pStyle w:val="TableText"/>
              <w:ind w:left="239"/>
              <w:spacing w:before="94" w:line="183" w:lineRule="auto"/>
              <w:rPr/>
            </w:pPr>
            <w:r>
              <w:rPr>
                <w:spacing w:val="8"/>
              </w:rPr>
              <w:t>科林电气</w:t>
            </w:r>
          </w:p>
        </w:tc>
        <w:tc>
          <w:tcPr>
            <w:shd w:val="clear" w:fill="B8CCE4"/>
            <w:tcW w:w="6530" w:type="dxa"/>
            <w:vAlign w:val="top"/>
          </w:tcPr>
          <w:p>
            <w:pPr>
              <w:pStyle w:val="TableText"/>
              <w:ind w:left="108"/>
              <w:spacing w:before="94" w:line="183" w:lineRule="auto"/>
              <w:rPr/>
            </w:pPr>
            <w:r>
              <w:rPr>
                <w:spacing w:val="7"/>
              </w:rPr>
              <w:t>时任董事亲属</w:t>
            </w:r>
            <w:r>
              <w:rPr>
                <w:b/>
                <w:bCs/>
                <w:spacing w:val="7"/>
              </w:rPr>
              <w:t>短线交易。</w:t>
            </w:r>
          </w:p>
        </w:tc>
      </w:tr>
      <w:tr>
        <w:trPr>
          <w:trHeight w:val="724" w:hRule="atLeast"/>
        </w:trPr>
        <w:tc>
          <w:tcPr>
            <w:tcW w:w="8932" w:type="dxa"/>
            <w:vAlign w:val="top"/>
            <w:gridSpan w:val="3"/>
          </w:tcPr>
          <w:p>
            <w:pPr>
              <w:pStyle w:val="TableText"/>
              <w:ind w:left="115" w:right="204" w:firstLine="8"/>
              <w:spacing w:before="50" w:line="232" w:lineRule="auto"/>
              <w:rPr/>
            </w:pPr>
            <w:r>
              <w:rPr>
                <w:b/>
                <w:bCs/>
                <w:spacing w:val="9"/>
              </w:rPr>
              <w:t>【行政监管措施】</w:t>
            </w:r>
            <w:r>
              <w:rPr>
                <w:b/>
                <w:bCs/>
                <w:spacing w:val="-29"/>
              </w:rPr>
              <w:t xml:space="preserve"> </w:t>
            </w:r>
            <w:r>
              <w:rPr>
                <w:spacing w:val="9"/>
              </w:rPr>
              <w:t>中国证券监督管理委员会河北监管局决定对时任</w:t>
            </w:r>
            <w:r>
              <w:rPr>
                <w:spacing w:val="8"/>
              </w:rPr>
              <w:t>董事张某锁采取出具警示函</w:t>
            </w:r>
            <w:r>
              <w:rPr/>
              <w:t xml:space="preserve"> </w:t>
            </w:r>
            <w:r>
              <w:rPr>
                <w:spacing w:val="7"/>
              </w:rPr>
              <w:t>的行政监管措施。</w:t>
            </w:r>
          </w:p>
        </w:tc>
      </w:tr>
      <w:tr>
        <w:trPr>
          <w:trHeight w:val="732" w:hRule="atLeast"/>
        </w:trPr>
        <w:tc>
          <w:tcPr>
            <w:shd w:val="clear" w:fill="B8CCE4"/>
            <w:tcW w:w="1059" w:type="dxa"/>
            <w:vAlign w:val="top"/>
          </w:tcPr>
          <w:p>
            <w:pPr>
              <w:pStyle w:val="TableText"/>
              <w:ind w:left="160"/>
              <w:spacing w:before="289" w:line="179" w:lineRule="auto"/>
              <w:rPr/>
            </w:pPr>
            <w:r>
              <w:rPr>
                <w:spacing w:val="3"/>
              </w:rPr>
              <w:t>002961</w:t>
            </w:r>
          </w:p>
        </w:tc>
        <w:tc>
          <w:tcPr>
            <w:shd w:val="clear" w:fill="B8CCE4"/>
            <w:tcW w:w="1343" w:type="dxa"/>
            <w:vAlign w:val="top"/>
          </w:tcPr>
          <w:p>
            <w:pPr>
              <w:pStyle w:val="TableText"/>
              <w:ind w:left="239"/>
              <w:spacing w:before="274" w:line="190" w:lineRule="auto"/>
              <w:rPr/>
            </w:pPr>
            <w:r>
              <w:rPr>
                <w:spacing w:val="8"/>
              </w:rPr>
              <w:t>瑞达期货</w:t>
            </w:r>
          </w:p>
        </w:tc>
        <w:tc>
          <w:tcPr>
            <w:shd w:val="clear" w:fill="B8CCE4"/>
            <w:tcW w:w="6530" w:type="dxa"/>
            <w:vAlign w:val="top"/>
          </w:tcPr>
          <w:p>
            <w:pPr>
              <w:pStyle w:val="TableText"/>
              <w:ind w:left="113" w:right="120" w:hanging="14"/>
              <w:spacing w:before="95" w:line="219" w:lineRule="auto"/>
              <w:rPr/>
            </w:pPr>
            <w:r>
              <w:rPr>
                <w:spacing w:val="7"/>
              </w:rPr>
              <w:t>瑞达期货股份有限公司互联网营销业务内部控制不健全， 在开展互联</w:t>
            </w:r>
            <w:r>
              <w:rPr>
                <w:spacing w:val="17"/>
                <w:w w:val="101"/>
              </w:rPr>
              <w:t xml:space="preserve"> </w:t>
            </w:r>
            <w:r>
              <w:rPr>
                <w:spacing w:val="7"/>
              </w:rPr>
              <w:t>网营销业务过程存在以下问题： 一是个别员工在取得期货从业资格证</w:t>
            </w:r>
          </w:p>
        </w:tc>
      </w:tr>
    </w:tbl>
    <w:p>
      <w:pPr>
        <w:pStyle w:val="BodyText"/>
        <w:rPr/>
      </w:pPr>
      <w:r/>
    </w:p>
    <w:p>
      <w:pPr>
        <w:sectPr>
          <w:pgSz w:w="11910" w:h="16840"/>
          <w:pgMar w:top="400" w:right="1581" w:bottom="0" w:left="1381" w:header="0" w:footer="0" w:gutter="0"/>
        </w:sectPr>
        <w:rPr/>
      </w:pPr>
    </w:p>
    <w:tbl>
      <w:tblPr>
        <w:tblStyle w:val="TableNormal"/>
        <w:tblW w:w="8932" w:type="dxa"/>
        <w:tblInd w:w="6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59"/>
        <w:gridCol w:w="1343"/>
        <w:gridCol w:w="6530"/>
      </w:tblGrid>
      <w:tr>
        <w:trPr>
          <w:trHeight w:val="1463" w:hRule="atLeast"/>
        </w:trPr>
        <w:tc>
          <w:tcPr>
            <w:shd w:val="clear" w:fill="B8CCE4"/>
            <w:tcW w:w="1059" w:type="dxa"/>
            <w:vAlign w:val="top"/>
            <w:tcBorders>
              <w:top w:val="single" w:color="FFFFFF" w:sz="2" w:space="0"/>
            </w:tcBorders>
          </w:tcPr>
          <w:p>
            <w:pPr>
              <w:rPr>
                <w:rFonts w:ascii="Arial"/>
                <w:sz w:val="21"/>
              </w:rPr>
            </w:pPr>
            <w:r/>
          </w:p>
        </w:tc>
        <w:tc>
          <w:tcPr>
            <w:shd w:val="clear" w:fill="B8CCE4"/>
            <w:tcW w:w="1343" w:type="dxa"/>
            <w:vAlign w:val="top"/>
            <w:tcBorders>
              <w:top w:val="single" w:color="FFFFFF" w:sz="2" w:space="0"/>
            </w:tcBorders>
          </w:tcPr>
          <w:p>
            <w:pPr>
              <w:rPr>
                <w:rFonts w:ascii="Arial"/>
                <w:sz w:val="21"/>
              </w:rPr>
            </w:pPr>
            <w:r/>
          </w:p>
        </w:tc>
        <w:tc>
          <w:tcPr>
            <w:shd w:val="clear" w:fill="B8CCE4"/>
            <w:tcW w:w="6530" w:type="dxa"/>
            <w:vAlign w:val="top"/>
            <w:tcBorders>
              <w:top w:val="single" w:color="FFFFFF" w:sz="2" w:space="0"/>
            </w:tcBorders>
          </w:tcPr>
          <w:p>
            <w:pPr>
              <w:pStyle w:val="TableText"/>
              <w:ind w:left="98" w:right="120"/>
              <w:spacing w:before="100" w:line="250" w:lineRule="auto"/>
              <w:rPr/>
            </w:pPr>
            <w:r>
              <w:rPr>
                <w:spacing w:val="5"/>
              </w:rPr>
              <w:t>之前从事了期货业务活动； 二是部分宣传营销内容片面宣传； 三是与</w:t>
            </w:r>
            <w:r>
              <w:rPr>
                <w:spacing w:val="16"/>
              </w:rPr>
              <w:t xml:space="preserve"> </w:t>
            </w:r>
            <w:r>
              <w:rPr>
                <w:spacing w:val="7"/>
              </w:rPr>
              <w:t>第三方机构合作模式不规范； 四是部分宣传营销内容审核留痕不到</w:t>
            </w:r>
          </w:p>
          <w:p>
            <w:pPr>
              <w:pStyle w:val="TableText"/>
              <w:ind w:left="99" w:right="120"/>
              <w:spacing w:before="5" w:line="221" w:lineRule="auto"/>
              <w:rPr/>
            </w:pPr>
            <w:r>
              <w:rPr>
                <w:spacing w:val="7"/>
              </w:rPr>
              <w:t>位； 五是个别不具备期货交易咨询资格的员工违规开展期货行情分析</w:t>
            </w:r>
            <w:r>
              <w:rPr>
                <w:spacing w:val="17"/>
                <w:w w:val="101"/>
              </w:rPr>
              <w:t xml:space="preserve"> </w:t>
            </w:r>
            <w:r>
              <w:rPr>
                <w:spacing w:val="8"/>
              </w:rPr>
              <w:t>等信息传播活动。</w:t>
            </w:r>
          </w:p>
        </w:tc>
      </w:tr>
      <w:tr>
        <w:trPr>
          <w:trHeight w:val="723" w:hRule="atLeast"/>
        </w:trPr>
        <w:tc>
          <w:tcPr>
            <w:tcW w:w="8932" w:type="dxa"/>
            <w:vAlign w:val="top"/>
            <w:gridSpan w:val="3"/>
          </w:tcPr>
          <w:p>
            <w:pPr>
              <w:pStyle w:val="TableText"/>
              <w:ind w:left="111" w:right="103" w:firstLine="12"/>
              <w:spacing w:before="40" w:line="235" w:lineRule="auto"/>
              <w:rPr/>
            </w:pPr>
            <w:r>
              <w:rPr>
                <w:b/>
                <w:bCs/>
                <w:spacing w:val="11"/>
              </w:rPr>
              <w:t>【行政监管措施】</w:t>
            </w:r>
            <w:r>
              <w:rPr>
                <w:b/>
                <w:bCs/>
                <w:spacing w:val="-23"/>
              </w:rPr>
              <w:t xml:space="preserve"> </w:t>
            </w:r>
            <w:r>
              <w:rPr>
                <w:spacing w:val="11"/>
              </w:rPr>
              <w:t>中国证券监督管理委员会厦门监管局决定对瑞达期货股份有限公司采取责令</w:t>
            </w:r>
            <w:r>
              <w:rPr/>
              <w:t xml:space="preserve"> </w:t>
            </w:r>
            <w:r>
              <w:rPr>
                <w:spacing w:val="8"/>
              </w:rPr>
              <w:t>改正的监督管理措施， 并根据《证券期货市场诚信监督管理办法》将相关情况</w:t>
            </w:r>
            <w:r>
              <w:rPr>
                <w:spacing w:val="7"/>
              </w:rPr>
              <w:t>记入诚信档案。</w:t>
            </w:r>
          </w:p>
        </w:tc>
      </w:tr>
      <w:tr>
        <w:trPr>
          <w:trHeight w:val="365" w:hRule="atLeast"/>
        </w:trPr>
        <w:tc>
          <w:tcPr>
            <w:shd w:val="clear" w:fill="B8CCE4"/>
            <w:tcW w:w="1059" w:type="dxa"/>
            <w:vAlign w:val="top"/>
          </w:tcPr>
          <w:p>
            <w:pPr>
              <w:pStyle w:val="TableText"/>
              <w:ind w:left="160"/>
              <w:spacing w:before="101" w:line="177" w:lineRule="auto"/>
              <w:rPr/>
            </w:pPr>
            <w:r>
              <w:rPr>
                <w:spacing w:val="3"/>
              </w:rPr>
              <w:t>000592</w:t>
            </w:r>
          </w:p>
        </w:tc>
        <w:tc>
          <w:tcPr>
            <w:shd w:val="clear" w:fill="B8CCE4"/>
            <w:tcW w:w="1343" w:type="dxa"/>
            <w:vAlign w:val="top"/>
          </w:tcPr>
          <w:p>
            <w:pPr>
              <w:pStyle w:val="TableText"/>
              <w:ind w:left="242"/>
              <w:spacing w:before="87" w:line="187" w:lineRule="auto"/>
              <w:rPr/>
            </w:pPr>
            <w:r>
              <w:rPr>
                <w:spacing w:val="8"/>
              </w:rPr>
              <w:t>平潭发展</w:t>
            </w:r>
          </w:p>
        </w:tc>
        <w:tc>
          <w:tcPr>
            <w:shd w:val="clear" w:fill="B8CCE4"/>
            <w:tcW w:w="6530" w:type="dxa"/>
            <w:vAlign w:val="top"/>
          </w:tcPr>
          <w:p>
            <w:pPr>
              <w:pStyle w:val="TableText"/>
              <w:ind w:left="101"/>
              <w:spacing w:before="86" w:line="188" w:lineRule="auto"/>
              <w:rPr/>
            </w:pPr>
            <w:r>
              <w:rPr>
                <w:spacing w:val="8"/>
              </w:rPr>
              <w:t>交易对手方未履行</w:t>
            </w:r>
            <w:r>
              <w:rPr>
                <w:b/>
                <w:bCs/>
                <w:spacing w:val="8"/>
              </w:rPr>
              <w:t>业绩补偿承诺。</w:t>
            </w:r>
          </w:p>
        </w:tc>
      </w:tr>
      <w:tr>
        <w:trPr>
          <w:trHeight w:val="723" w:hRule="atLeast"/>
        </w:trPr>
        <w:tc>
          <w:tcPr>
            <w:tcW w:w="8932" w:type="dxa"/>
            <w:vAlign w:val="top"/>
            <w:gridSpan w:val="3"/>
          </w:tcPr>
          <w:p>
            <w:pPr>
              <w:pStyle w:val="TableText"/>
              <w:ind w:left="105" w:right="204" w:firstLine="18"/>
              <w:spacing w:before="43" w:line="234" w:lineRule="auto"/>
              <w:rPr/>
            </w:pPr>
            <w:r>
              <w:rPr>
                <w:b/>
                <w:bCs/>
                <w:spacing w:val="9"/>
              </w:rPr>
              <w:t>【行政监管措施】</w:t>
            </w:r>
            <w:r>
              <w:rPr>
                <w:b/>
                <w:bCs/>
                <w:spacing w:val="-29"/>
              </w:rPr>
              <w:t xml:space="preserve"> </w:t>
            </w:r>
            <w:r>
              <w:rPr>
                <w:spacing w:val="9"/>
              </w:rPr>
              <w:t>中国证券监督管理委员会福建监管局决定对贾某</w:t>
            </w:r>
            <w:r>
              <w:rPr>
                <w:spacing w:val="8"/>
              </w:rPr>
              <w:t>采取责令改正的监督管理措</w:t>
            </w:r>
            <w:r>
              <w:rPr/>
              <w:t xml:space="preserve"> </w:t>
            </w:r>
            <w:r>
              <w:rPr>
                <w:spacing w:val="5"/>
              </w:rPr>
              <w:t>施， 并记入证券期货市场诚信档案。</w:t>
            </w:r>
          </w:p>
        </w:tc>
      </w:tr>
      <w:tr>
        <w:trPr>
          <w:trHeight w:val="1084" w:hRule="atLeast"/>
        </w:trPr>
        <w:tc>
          <w:tcPr>
            <w:shd w:val="clear" w:fill="B8CCE4"/>
            <w:tcW w:w="1059" w:type="dxa"/>
            <w:vAlign w:val="top"/>
          </w:tcPr>
          <w:p>
            <w:pPr>
              <w:spacing w:line="374" w:lineRule="auto"/>
              <w:rPr>
                <w:rFonts w:ascii="Arial"/>
                <w:sz w:val="21"/>
              </w:rPr>
            </w:pPr>
            <w:r/>
          </w:p>
          <w:p>
            <w:pPr>
              <w:pStyle w:val="TableText"/>
              <w:ind w:left="166"/>
              <w:spacing w:before="86" w:line="178" w:lineRule="auto"/>
              <w:rPr/>
            </w:pPr>
            <w:r>
              <w:rPr>
                <w:spacing w:val="3"/>
              </w:rPr>
              <w:t>300003</w:t>
            </w:r>
          </w:p>
        </w:tc>
        <w:tc>
          <w:tcPr>
            <w:shd w:val="clear" w:fill="B8CCE4"/>
            <w:tcW w:w="1343" w:type="dxa"/>
            <w:vAlign w:val="top"/>
          </w:tcPr>
          <w:p>
            <w:pPr>
              <w:spacing w:line="358" w:lineRule="auto"/>
              <w:rPr>
                <w:rFonts w:ascii="Arial"/>
                <w:sz w:val="21"/>
              </w:rPr>
            </w:pPr>
            <w:r/>
          </w:p>
          <w:p>
            <w:pPr>
              <w:pStyle w:val="TableText"/>
              <w:ind w:left="240"/>
              <w:spacing w:before="86" w:line="190" w:lineRule="auto"/>
              <w:rPr/>
            </w:pPr>
            <w:r>
              <w:rPr>
                <w:spacing w:val="8"/>
              </w:rPr>
              <w:t>乐普医疗</w:t>
            </w:r>
          </w:p>
        </w:tc>
        <w:tc>
          <w:tcPr>
            <w:shd w:val="clear" w:fill="B8CCE4"/>
            <w:tcW w:w="6530" w:type="dxa"/>
            <w:vAlign w:val="top"/>
          </w:tcPr>
          <w:p>
            <w:pPr>
              <w:pStyle w:val="TableText"/>
              <w:ind w:left="98" w:right="103" w:firstLine="1"/>
              <w:spacing w:before="48" w:line="239" w:lineRule="auto"/>
              <w:jc w:val="both"/>
              <w:rPr/>
            </w:pPr>
            <w:r>
              <w:rPr>
                <w:spacing w:val="10"/>
              </w:rPr>
              <w:t>乐普 （北京）</w:t>
            </w:r>
            <w:r>
              <w:rPr>
                <w:spacing w:val="34"/>
                <w:w w:val="101"/>
              </w:rPr>
              <w:t xml:space="preserve"> </w:t>
            </w:r>
            <w:r>
              <w:rPr>
                <w:spacing w:val="10"/>
              </w:rPr>
              <w:t>医疗器械股份有限公司2023年5月25日至2023年6月</w:t>
            </w:r>
            <w:r>
              <w:rPr/>
              <w:t xml:space="preserve"> </w:t>
            </w:r>
            <w:r>
              <w:rPr>
                <w:spacing w:val="11"/>
              </w:rPr>
              <w:t>29日使用闲置募集资金10,000万元进行</w:t>
            </w:r>
            <w:r>
              <w:rPr>
                <w:b/>
                <w:bCs/>
                <w:spacing w:val="11"/>
              </w:rPr>
              <w:t>现金管理， </w:t>
            </w:r>
            <w:r>
              <w:rPr>
                <w:spacing w:val="11"/>
              </w:rPr>
              <w:t>未及时履行审议</w:t>
            </w:r>
            <w:r>
              <w:rPr>
                <w:spacing w:val="9"/>
              </w:rPr>
              <w:t xml:space="preserve"> </w:t>
            </w:r>
            <w:r>
              <w:rPr>
                <w:spacing w:val="8"/>
              </w:rPr>
              <w:t>程序和信息披露义务。</w:t>
            </w:r>
          </w:p>
        </w:tc>
      </w:tr>
      <w:tr>
        <w:trPr>
          <w:trHeight w:val="724" w:hRule="atLeast"/>
        </w:trPr>
        <w:tc>
          <w:tcPr>
            <w:tcW w:w="8932" w:type="dxa"/>
            <w:vAlign w:val="top"/>
            <w:gridSpan w:val="3"/>
          </w:tcPr>
          <w:p>
            <w:pPr>
              <w:pStyle w:val="TableText"/>
              <w:ind w:left="106" w:right="204" w:firstLine="17"/>
              <w:spacing w:before="47" w:line="233" w:lineRule="auto"/>
              <w:rPr/>
            </w:pPr>
            <w:r>
              <w:rPr>
                <w:b/>
                <w:bCs/>
                <w:spacing w:val="6"/>
              </w:rPr>
              <w:t>【行政监管措施】</w:t>
            </w:r>
            <w:r>
              <w:rPr>
                <w:b/>
                <w:bCs/>
                <w:spacing w:val="-29"/>
              </w:rPr>
              <w:t xml:space="preserve"> </w:t>
            </w:r>
            <w:r>
              <w:rPr>
                <w:spacing w:val="6"/>
              </w:rPr>
              <w:t>中国证券监督管理委员会北京监管</w:t>
            </w:r>
            <w:r>
              <w:rPr>
                <w:spacing w:val="5"/>
              </w:rPr>
              <w:t>局决定对乐普 （北京） 医疗器械股份有限</w:t>
            </w:r>
            <w:r>
              <w:rPr/>
              <w:t xml:space="preserve"> </w:t>
            </w:r>
            <w:r>
              <w:rPr>
                <w:spacing w:val="7"/>
              </w:rPr>
              <w:t>公司采取责令改正的行政监管措施， 并记入证券期货市场诚信档案。</w:t>
            </w:r>
          </w:p>
        </w:tc>
      </w:tr>
      <w:tr>
        <w:trPr>
          <w:trHeight w:val="724" w:hRule="atLeast"/>
        </w:trPr>
        <w:tc>
          <w:tcPr>
            <w:shd w:val="clear" w:fill="B8CCE4"/>
            <w:tcW w:w="1059" w:type="dxa"/>
            <w:vAlign w:val="top"/>
          </w:tcPr>
          <w:p>
            <w:pPr>
              <w:pStyle w:val="TableText"/>
              <w:ind w:left="161"/>
              <w:spacing w:before="285" w:line="178" w:lineRule="auto"/>
              <w:rPr/>
            </w:pPr>
            <w:r>
              <w:rPr>
                <w:spacing w:val="3"/>
              </w:rPr>
              <w:t>870874</w:t>
            </w:r>
          </w:p>
        </w:tc>
        <w:tc>
          <w:tcPr>
            <w:shd w:val="clear" w:fill="B8CCE4"/>
            <w:tcW w:w="1343" w:type="dxa"/>
            <w:vAlign w:val="top"/>
          </w:tcPr>
          <w:p>
            <w:pPr>
              <w:pStyle w:val="TableText"/>
              <w:ind w:left="252"/>
              <w:spacing w:before="270" w:line="189" w:lineRule="auto"/>
              <w:rPr/>
            </w:pPr>
            <w:r>
              <w:rPr>
                <w:spacing w:val="5"/>
              </w:rPr>
              <w:t>国民银行</w:t>
            </w:r>
          </w:p>
        </w:tc>
        <w:tc>
          <w:tcPr>
            <w:shd w:val="clear" w:fill="B8CCE4"/>
            <w:tcW w:w="6530" w:type="dxa"/>
            <w:vAlign w:val="top"/>
          </w:tcPr>
          <w:p>
            <w:pPr>
              <w:pStyle w:val="TableText"/>
              <w:ind w:left="99" w:right="120"/>
              <w:spacing w:before="90" w:line="218" w:lineRule="auto"/>
              <w:rPr/>
            </w:pPr>
            <w:r>
              <w:rPr>
                <w:spacing w:val="10"/>
              </w:rPr>
              <w:t>象山国民村镇银行股份有限公司有关</w:t>
            </w:r>
            <w:r>
              <w:rPr>
                <w:b/>
                <w:bCs/>
                <w:spacing w:val="10"/>
              </w:rPr>
              <w:t>董事、监事报酬</w:t>
            </w:r>
            <w:r>
              <w:rPr>
                <w:spacing w:val="9"/>
              </w:rPr>
              <w:t>事项经董事会审</w:t>
            </w:r>
            <w:r>
              <w:rPr/>
              <w:t xml:space="preserve"> </w:t>
            </w:r>
            <w:r>
              <w:rPr>
                <w:spacing w:val="3"/>
              </w:rPr>
              <w:t>议通过后， 未经股东大会审议， 未进行公告披露。</w:t>
            </w:r>
          </w:p>
        </w:tc>
      </w:tr>
      <w:tr>
        <w:trPr>
          <w:trHeight w:val="1092" w:hRule="atLeast"/>
        </w:trPr>
        <w:tc>
          <w:tcPr>
            <w:tcW w:w="8932" w:type="dxa"/>
            <w:vAlign w:val="top"/>
            <w:gridSpan w:val="3"/>
          </w:tcPr>
          <w:p>
            <w:pPr>
              <w:pStyle w:val="TableText"/>
              <w:ind w:left="106" w:right="103" w:firstLine="17"/>
              <w:spacing w:before="48" w:line="241" w:lineRule="auto"/>
              <w:jc w:val="both"/>
              <w:rPr/>
            </w:pPr>
            <w:r>
              <w:rPr>
                <w:b/>
                <w:bCs/>
                <w:spacing w:val="16"/>
              </w:rPr>
              <w:t>【行政监管措施】</w:t>
            </w:r>
            <w:r>
              <w:rPr>
                <w:b/>
                <w:bCs/>
                <w:spacing w:val="-11"/>
              </w:rPr>
              <w:t xml:space="preserve"> </w:t>
            </w:r>
            <w:r>
              <w:rPr>
                <w:spacing w:val="16"/>
              </w:rPr>
              <w:t>中国证券监督管理委员会宁波监管局决定对象山国民村镇银行股份有限公</w:t>
            </w:r>
            <w:r>
              <w:rPr/>
              <w:t xml:space="preserve"> </w:t>
            </w:r>
            <w:r>
              <w:rPr>
                <w:spacing w:val="10"/>
              </w:rPr>
              <w:t>司、董事长陆某生、</w:t>
            </w:r>
            <w:r>
              <w:rPr>
                <w:spacing w:val="-33"/>
              </w:rPr>
              <w:t xml:space="preserve"> </w:t>
            </w:r>
            <w:r>
              <w:rPr>
                <w:spacing w:val="10"/>
              </w:rPr>
              <w:t>时任高管翁某燕采取出具警示函的监督管理措施， 并记入证券期货市场诚</w:t>
            </w:r>
            <w:r>
              <w:rPr/>
              <w:t xml:space="preserve"> </w:t>
            </w:r>
            <w:r>
              <w:rPr>
                <w:spacing w:val="6"/>
              </w:rPr>
              <w:t>信档案。</w:t>
            </w:r>
          </w:p>
        </w:tc>
      </w:tr>
    </w:tbl>
    <w:p>
      <w:pPr>
        <w:pStyle w:val="BodyText"/>
        <w:spacing w:line="319" w:lineRule="auto"/>
        <w:rPr/>
      </w:pPr>
      <w:r/>
    </w:p>
    <w:p>
      <w:pPr>
        <w:spacing w:before="102"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（4） 立案调查</w:t>
      </w:r>
    </w:p>
    <w:p>
      <w:pPr>
        <w:spacing w:line="174" w:lineRule="exact"/>
        <w:rPr/>
      </w:pPr>
      <w:r/>
    </w:p>
    <w:tbl>
      <w:tblPr>
        <w:tblStyle w:val="TableNormal"/>
        <w:tblW w:w="9008" w:type="dxa"/>
        <w:tblInd w:w="59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92"/>
        <w:gridCol w:w="995"/>
        <w:gridCol w:w="6921"/>
      </w:tblGrid>
      <w:tr>
        <w:trPr>
          <w:trHeight w:val="763" w:hRule="atLeast"/>
        </w:trPr>
        <w:tc>
          <w:tcPr>
            <w:shd w:val="clear" w:fill="4F81BD"/>
            <w:tcW w:w="1092" w:type="dxa"/>
            <w:vAlign w:val="top"/>
            <w:tcBorders>
              <w:bottom w:val="single" w:color="FFFFFF" w:sz="2" w:space="0"/>
            </w:tcBorders>
          </w:tcPr>
          <w:p>
            <w:pPr>
              <w:pStyle w:val="TableText"/>
              <w:ind w:left="121"/>
              <w:spacing w:before="297" w:line="189" w:lineRule="auto"/>
              <w:rPr/>
            </w:pPr>
            <w:r>
              <w:rPr>
                <w:b/>
                <w:bCs/>
                <w:color w:val="FFFFFF"/>
                <w:spacing w:val="8"/>
              </w:rPr>
              <w:t>公司代码</w:t>
            </w:r>
          </w:p>
        </w:tc>
        <w:tc>
          <w:tcPr>
            <w:shd w:val="clear" w:fill="4F81BD"/>
            <w:tcW w:w="995" w:type="dxa"/>
            <w:vAlign w:val="top"/>
            <w:tcBorders>
              <w:bottom w:val="single" w:color="FFFFFF" w:sz="2" w:space="0"/>
            </w:tcBorders>
          </w:tcPr>
          <w:p>
            <w:pPr>
              <w:pStyle w:val="TableText"/>
              <w:ind w:left="381" w:right="180" w:hanging="207"/>
              <w:spacing w:before="109" w:line="225" w:lineRule="auto"/>
              <w:rPr/>
            </w:pPr>
            <w:r>
              <w:rPr>
                <w:b/>
                <w:bCs/>
                <w:color w:val="FFFFFF"/>
                <w:spacing w:val="8"/>
              </w:rPr>
              <w:t>公司简</w:t>
            </w:r>
            <w:r>
              <w:rPr>
                <w:b/>
                <w:bCs/>
                <w:color w:val="FFFFFF"/>
              </w:rPr>
              <w:t xml:space="preserve"> </w:t>
            </w:r>
            <w:r>
              <w:rPr>
                <w:b/>
                <w:bCs/>
                <w:color w:val="FFFFFF"/>
                <w:spacing w:val="6"/>
              </w:rPr>
              <w:t>称</w:t>
            </w:r>
          </w:p>
        </w:tc>
        <w:tc>
          <w:tcPr>
            <w:shd w:val="clear" w:fill="4F81BD"/>
            <w:tcW w:w="6921" w:type="dxa"/>
            <w:vAlign w:val="top"/>
            <w:tcBorders>
              <w:bottom w:val="single" w:color="FFFFFF" w:sz="2" w:space="0"/>
            </w:tcBorders>
          </w:tcPr>
          <w:p>
            <w:pPr>
              <w:pStyle w:val="TableText"/>
              <w:ind w:left="3033"/>
              <w:spacing w:before="297" w:line="189" w:lineRule="auto"/>
              <w:rPr/>
            </w:pPr>
            <w:r>
              <w:rPr>
                <w:b/>
                <w:bCs/>
                <w:color w:val="FFFFFF"/>
                <w:spacing w:val="8"/>
              </w:rPr>
              <w:t>违规行为</w:t>
            </w:r>
          </w:p>
        </w:tc>
      </w:tr>
      <w:tr>
        <w:trPr>
          <w:trHeight w:val="369" w:hRule="atLeast"/>
        </w:trPr>
        <w:tc>
          <w:tcPr>
            <w:shd w:val="clear" w:fill="B8CCE4"/>
            <w:tcW w:w="1092" w:type="dxa"/>
            <w:vAlign w:val="top"/>
            <w:tcBorders>
              <w:top w:val="single" w:color="FFFFFF" w:sz="2" w:space="0"/>
            </w:tcBorders>
          </w:tcPr>
          <w:p>
            <w:pPr>
              <w:pStyle w:val="TableText"/>
              <w:ind w:left="174"/>
              <w:spacing w:before="101" w:line="179" w:lineRule="auto"/>
              <w:rPr/>
            </w:pPr>
            <w:r>
              <w:rPr>
                <w:spacing w:val="3"/>
              </w:rPr>
              <w:t>000611</w:t>
            </w:r>
          </w:p>
        </w:tc>
        <w:tc>
          <w:tcPr>
            <w:shd w:val="clear" w:fill="B8CCE4"/>
            <w:tcW w:w="995" w:type="dxa"/>
            <w:vAlign w:val="top"/>
            <w:tcBorders>
              <w:top w:val="single" w:color="FFFFFF" w:sz="2" w:space="0"/>
            </w:tcBorders>
          </w:tcPr>
          <w:p>
            <w:pPr>
              <w:pStyle w:val="TableText"/>
              <w:ind w:left="173"/>
              <w:spacing w:before="88" w:line="189" w:lineRule="auto"/>
              <w:rPr/>
            </w:pPr>
            <w:r>
              <w:rPr>
                <w:spacing w:val="8"/>
              </w:rPr>
              <w:t>天首退</w:t>
            </w:r>
          </w:p>
        </w:tc>
        <w:tc>
          <w:tcPr>
            <w:shd w:val="clear" w:fill="B8CCE4"/>
            <w:tcW w:w="6921" w:type="dxa"/>
            <w:vAlign w:val="top"/>
            <w:tcBorders>
              <w:top w:val="single" w:color="FFFFFF" w:sz="2" w:space="0"/>
            </w:tcBorders>
          </w:tcPr>
          <w:p>
            <w:pPr>
              <w:pStyle w:val="TableText"/>
              <w:ind w:left="114"/>
              <w:spacing w:before="87" w:line="190" w:lineRule="auto"/>
              <w:rPr/>
            </w:pPr>
            <w:r>
              <w:rPr>
                <w:spacing w:val="7"/>
              </w:rPr>
              <w:t>因公司</w:t>
            </w:r>
            <w:r>
              <w:rPr>
                <w:b/>
                <w:bCs/>
                <w:spacing w:val="7"/>
              </w:rPr>
              <w:t>涉嫌信息披露违法违规</w:t>
            </w:r>
            <w:r>
              <w:rPr>
                <w:spacing w:val="7"/>
              </w:rPr>
              <w:t>， 被中国证券</w:t>
            </w:r>
            <w:r>
              <w:rPr>
                <w:spacing w:val="6"/>
              </w:rPr>
              <w:t>监督管理委员会立案。</w:t>
            </w:r>
          </w:p>
        </w:tc>
      </w:tr>
      <w:tr>
        <w:trPr>
          <w:trHeight w:val="724" w:hRule="atLeast"/>
        </w:trPr>
        <w:tc>
          <w:tcPr>
            <w:tcW w:w="1092" w:type="dxa"/>
            <w:vAlign w:val="top"/>
          </w:tcPr>
          <w:p>
            <w:pPr>
              <w:pStyle w:val="TableText"/>
              <w:ind w:left="174"/>
              <w:spacing w:before="277" w:line="179" w:lineRule="auto"/>
              <w:rPr/>
            </w:pPr>
            <w:r>
              <w:rPr>
                <w:spacing w:val="3"/>
              </w:rPr>
              <w:t>000851</w:t>
            </w:r>
          </w:p>
        </w:tc>
        <w:tc>
          <w:tcPr>
            <w:tcW w:w="995" w:type="dxa"/>
            <w:vAlign w:val="top"/>
          </w:tcPr>
          <w:p>
            <w:pPr>
              <w:pStyle w:val="TableText"/>
              <w:ind w:left="166"/>
              <w:spacing w:before="262" w:line="190" w:lineRule="auto"/>
              <w:rPr/>
            </w:pPr>
            <w:r>
              <w:rPr/>
              <w:t>ST</w:t>
            </w:r>
            <w:r>
              <w:rPr>
                <w:spacing w:val="7"/>
              </w:rPr>
              <w:t>高鸿</w:t>
            </w:r>
          </w:p>
        </w:tc>
        <w:tc>
          <w:tcPr>
            <w:tcW w:w="6921" w:type="dxa"/>
            <w:vAlign w:val="top"/>
          </w:tcPr>
          <w:p>
            <w:pPr>
              <w:pStyle w:val="TableText"/>
              <w:ind w:left="100" w:right="302" w:firstLine="13"/>
              <w:spacing w:before="47" w:line="233" w:lineRule="auto"/>
              <w:rPr/>
            </w:pPr>
            <w:r>
              <w:rPr>
                <w:spacing w:val="7"/>
              </w:rPr>
              <w:t>因公司</w:t>
            </w:r>
            <w:r>
              <w:rPr>
                <w:b/>
                <w:bCs/>
                <w:spacing w:val="7"/>
              </w:rPr>
              <w:t>涉嫌信息披露违法违规</w:t>
            </w:r>
            <w:r>
              <w:rPr>
                <w:spacing w:val="7"/>
              </w:rPr>
              <w:t>， 根据《中华人民共和国证券法》《中华</w:t>
            </w:r>
            <w:r>
              <w:rPr>
                <w:spacing w:val="5"/>
              </w:rPr>
              <w:t xml:space="preserve"> </w:t>
            </w:r>
            <w:r>
              <w:rPr>
                <w:spacing w:val="7"/>
              </w:rPr>
              <w:t>人民共和国行政处罚法》等法律法规， 中国证监会决定对公司立案。</w:t>
            </w:r>
          </w:p>
        </w:tc>
      </w:tr>
      <w:tr>
        <w:trPr>
          <w:trHeight w:val="1082" w:hRule="atLeast"/>
        </w:trPr>
        <w:tc>
          <w:tcPr>
            <w:shd w:val="clear" w:fill="B8CCE4"/>
            <w:tcW w:w="1092" w:type="dxa"/>
            <w:vAlign w:val="top"/>
          </w:tcPr>
          <w:p>
            <w:pPr>
              <w:spacing w:line="371" w:lineRule="auto"/>
              <w:rPr>
                <w:rFonts w:ascii="Arial"/>
                <w:sz w:val="21"/>
              </w:rPr>
            </w:pPr>
            <w:r/>
          </w:p>
          <w:p>
            <w:pPr>
              <w:pStyle w:val="TableText"/>
              <w:ind w:left="174"/>
              <w:spacing w:before="86" w:line="179" w:lineRule="auto"/>
              <w:rPr/>
            </w:pPr>
            <w:r>
              <w:rPr>
                <w:spacing w:val="3"/>
              </w:rPr>
              <w:t>002313</w:t>
            </w:r>
          </w:p>
        </w:tc>
        <w:tc>
          <w:tcPr>
            <w:shd w:val="clear" w:fill="B8CCE4"/>
            <w:tcW w:w="995" w:type="dxa"/>
            <w:vAlign w:val="top"/>
          </w:tcPr>
          <w:p>
            <w:pPr>
              <w:pStyle w:val="TableText"/>
              <w:ind w:left="382" w:right="180" w:hanging="180"/>
              <w:spacing w:before="266" w:line="250" w:lineRule="auto"/>
              <w:rPr/>
            </w:pPr>
            <w:r>
              <w:rPr>
                <w:spacing w:val="-1"/>
              </w:rPr>
              <w:t>日海智</w:t>
            </w:r>
            <w:r>
              <w:rPr/>
              <w:t xml:space="preserve"> </w:t>
            </w:r>
            <w:r>
              <w:rPr>
                <w:spacing w:val="5"/>
              </w:rPr>
              <w:t>能</w:t>
            </w:r>
          </w:p>
        </w:tc>
        <w:tc>
          <w:tcPr>
            <w:shd w:val="clear" w:fill="B8CCE4"/>
            <w:tcW w:w="6921" w:type="dxa"/>
            <w:vAlign w:val="top"/>
          </w:tcPr>
          <w:p>
            <w:pPr>
              <w:pStyle w:val="TableText"/>
              <w:ind w:left="99" w:right="302"/>
              <w:spacing w:before="46" w:line="239" w:lineRule="auto"/>
              <w:rPr/>
            </w:pPr>
            <w:r>
              <w:rPr>
                <w:spacing w:val="8"/>
              </w:rPr>
              <w:t>公司因</w:t>
            </w:r>
            <w:r>
              <w:rPr>
                <w:b/>
                <w:bCs/>
                <w:spacing w:val="8"/>
              </w:rPr>
              <w:t>涉嫌信息披露违法违规</w:t>
            </w:r>
            <w:r>
              <w:rPr>
                <w:spacing w:val="8"/>
              </w:rPr>
              <w:t>， 根据《中</w:t>
            </w:r>
            <w:r>
              <w:rPr>
                <w:spacing w:val="7"/>
              </w:rPr>
              <w:t>华人民共和国证券法》《中华</w:t>
            </w:r>
            <w:r>
              <w:rPr/>
              <w:t xml:space="preserve"> </w:t>
            </w:r>
            <w:r>
              <w:rPr>
                <w:spacing w:val="7"/>
              </w:rPr>
              <w:t>人民共和国行政处罚法》等法律法规， 中国证监会决定对公司进行立</w:t>
            </w:r>
            <w:r>
              <w:rPr>
                <w:spacing w:val="4"/>
              </w:rPr>
              <w:t xml:space="preserve">    </w:t>
            </w:r>
            <w:r>
              <w:rPr>
                <w:spacing w:val="2"/>
              </w:rPr>
              <w:t>案。</w:t>
            </w:r>
          </w:p>
        </w:tc>
      </w:tr>
      <w:tr>
        <w:trPr>
          <w:trHeight w:val="1082" w:hRule="atLeast"/>
        </w:trPr>
        <w:tc>
          <w:tcPr>
            <w:tcW w:w="1092" w:type="dxa"/>
            <w:vAlign w:val="top"/>
          </w:tcPr>
          <w:p>
            <w:pPr>
              <w:spacing w:line="375" w:lineRule="auto"/>
              <w:rPr>
                <w:rFonts w:ascii="Arial"/>
                <w:sz w:val="21"/>
              </w:rPr>
            </w:pPr>
            <w:r/>
          </w:p>
          <w:p>
            <w:pPr>
              <w:pStyle w:val="TableText"/>
              <w:ind w:left="177"/>
              <w:spacing w:before="86" w:line="178" w:lineRule="auto"/>
              <w:rPr/>
            </w:pPr>
            <w:r>
              <w:rPr>
                <w:spacing w:val="3"/>
              </w:rPr>
              <w:t>603995</w:t>
            </w:r>
          </w:p>
        </w:tc>
        <w:tc>
          <w:tcPr>
            <w:tcW w:w="995" w:type="dxa"/>
            <w:vAlign w:val="top"/>
          </w:tcPr>
          <w:p>
            <w:pPr>
              <w:pStyle w:val="TableText"/>
              <w:ind w:left="380" w:right="180" w:hanging="191"/>
              <w:spacing w:before="270" w:line="251" w:lineRule="auto"/>
              <w:rPr/>
            </w:pPr>
            <w:r>
              <w:rPr>
                <w:spacing w:val="3"/>
              </w:rPr>
              <w:t>甬金股</w:t>
            </w:r>
            <w:r>
              <w:rPr/>
              <w:t xml:space="preserve"> </w:t>
            </w:r>
            <w:r>
              <w:rPr>
                <w:spacing w:val="6"/>
              </w:rPr>
              <w:t>份</w:t>
            </w:r>
          </w:p>
        </w:tc>
        <w:tc>
          <w:tcPr>
            <w:tcW w:w="6921" w:type="dxa"/>
            <w:vAlign w:val="top"/>
          </w:tcPr>
          <w:p>
            <w:pPr>
              <w:pStyle w:val="TableText"/>
              <w:ind w:left="99" w:right="300" w:firstLine="14"/>
              <w:spacing w:before="51" w:line="238" w:lineRule="auto"/>
              <w:rPr/>
            </w:pPr>
            <w:r>
              <w:rPr>
                <w:spacing w:val="7"/>
              </w:rPr>
              <w:t>因</w:t>
            </w:r>
            <w:r>
              <w:rPr>
                <w:b/>
                <w:bCs/>
                <w:spacing w:val="7"/>
              </w:rPr>
              <w:t>实际控制人涉嫌内幕交易、短线交易</w:t>
            </w:r>
            <w:r>
              <w:rPr>
                <w:spacing w:val="7"/>
              </w:rPr>
              <w:t>， 根据《中华人民共和国证券</w:t>
            </w:r>
            <w:r>
              <w:rPr/>
              <w:t xml:space="preserve">    </w:t>
            </w:r>
            <w:r>
              <w:rPr>
                <w:spacing w:val="8"/>
              </w:rPr>
              <w:t>法》《中华人民共和国行政处罚法》等法律法规</w:t>
            </w:r>
            <w:r>
              <w:rPr>
                <w:spacing w:val="7"/>
              </w:rPr>
              <w:t>， 中国证监会决定对其</w:t>
            </w:r>
            <w:r>
              <w:rPr/>
              <w:t xml:space="preserve"> </w:t>
            </w:r>
            <w:r>
              <w:rPr>
                <w:spacing w:val="4"/>
              </w:rPr>
              <w:t>立案。</w:t>
            </w:r>
          </w:p>
        </w:tc>
      </w:tr>
      <w:tr>
        <w:trPr>
          <w:trHeight w:val="733" w:hRule="atLeast"/>
        </w:trPr>
        <w:tc>
          <w:tcPr>
            <w:shd w:val="clear" w:fill="B8CCE4"/>
            <w:tcW w:w="1092" w:type="dxa"/>
            <w:vAlign w:val="top"/>
          </w:tcPr>
          <w:p>
            <w:pPr>
              <w:pStyle w:val="TableText"/>
              <w:ind w:left="180"/>
              <w:spacing w:before="286" w:line="179" w:lineRule="auto"/>
              <w:rPr/>
            </w:pPr>
            <w:r>
              <w:rPr>
                <w:spacing w:val="3"/>
              </w:rPr>
              <w:t>300128</w:t>
            </w:r>
          </w:p>
        </w:tc>
        <w:tc>
          <w:tcPr>
            <w:shd w:val="clear" w:fill="B8CCE4"/>
            <w:tcW w:w="995" w:type="dxa"/>
            <w:vAlign w:val="top"/>
          </w:tcPr>
          <w:p>
            <w:pPr>
              <w:pStyle w:val="TableText"/>
              <w:ind w:left="379" w:right="180" w:hanging="206"/>
              <w:spacing w:before="93" w:line="220" w:lineRule="auto"/>
              <w:rPr/>
            </w:pPr>
            <w:r>
              <w:rPr>
                <w:spacing w:val="8"/>
              </w:rPr>
              <w:t>锦富技</w:t>
            </w:r>
            <w:r>
              <w:rPr/>
              <w:t xml:space="preserve"> </w:t>
            </w:r>
            <w:r>
              <w:rPr>
                <w:spacing w:val="7"/>
              </w:rPr>
              <w:t>术</w:t>
            </w:r>
          </w:p>
        </w:tc>
        <w:tc>
          <w:tcPr>
            <w:shd w:val="clear" w:fill="B8CCE4"/>
            <w:tcW w:w="6921" w:type="dxa"/>
            <w:vAlign w:val="top"/>
          </w:tcPr>
          <w:p>
            <w:pPr>
              <w:pStyle w:val="TableText"/>
              <w:ind w:left="100" w:right="302" w:firstLine="13"/>
              <w:spacing w:before="56" w:line="233" w:lineRule="auto"/>
              <w:rPr/>
            </w:pPr>
            <w:r>
              <w:rPr>
                <w:spacing w:val="7"/>
              </w:rPr>
              <w:t>因公司</w:t>
            </w:r>
            <w:r>
              <w:rPr>
                <w:b/>
                <w:bCs/>
                <w:spacing w:val="7"/>
              </w:rPr>
              <w:t>涉嫌信息披露违法违规</w:t>
            </w:r>
            <w:r>
              <w:rPr>
                <w:spacing w:val="7"/>
              </w:rPr>
              <w:t>， 根据《中华人民共和国证券法》《中华</w:t>
            </w:r>
            <w:r>
              <w:rPr>
                <w:spacing w:val="5"/>
              </w:rPr>
              <w:t xml:space="preserve"> </w:t>
            </w:r>
            <w:r>
              <w:rPr>
                <w:spacing w:val="7"/>
              </w:rPr>
              <w:t>人民共和国行政处罚法》等法律法规， 中国证监会决定对公司立案。</w:t>
            </w:r>
          </w:p>
        </w:tc>
      </w:tr>
    </w:tbl>
    <w:p>
      <w:pPr>
        <w:pStyle w:val="BodyText"/>
        <w:rPr/>
      </w:pPr>
      <w:r/>
    </w:p>
    <w:p>
      <w:pPr>
        <w:sectPr>
          <w:pgSz w:w="11910" w:h="16840"/>
          <w:pgMar w:top="400" w:right="1543" w:bottom="0" w:left="757" w:header="0" w:footer="0" w:gutter="0"/>
        </w:sectPr>
        <w:rPr/>
      </w:pPr>
    </w:p>
    <w:p>
      <w:pPr>
        <w:ind w:left="1653"/>
        <w:spacing w:before="2" w:line="185" w:lineRule="auto"/>
        <w:rPr>
          <w:rFonts w:ascii="Microsoft YaHei" w:hAnsi="Microsoft YaHei" w:eastAsia="Microsoft YaHei" w:cs="Microsoft YaHei"/>
          <w:sz w:val="43"/>
          <w:szCs w:val="43"/>
        </w:rPr>
      </w:pPr>
      <w:r>
        <w:pict>
          <v:group id="_x0000_s28" style="position:absolute;margin-left:0.72pt;margin-top:0.47998pt;mso-position-vertical-relative:page;mso-position-horizontal-relative:page;width:67.85pt;height:56.9pt;z-index:-251644928;" o:allowincell="f" filled="false" stroked="false" coordsize="1356,1138" coordorigin="0,0">
            <v:shape id="_x0000_s30" style="position:absolute;left:0;top:0;width:1356;height:1138;" fillcolor="#A61C1F" filled="true" stroked="false" coordsize="1356,1138" coordorigin="0,0" path="m,l1356,0l1356,1137l0,1137l0,0xe"/>
            <v:shape id="_x0000_s32"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r>
        <w:rPr>
          <w:rFonts w:ascii="Microsoft YaHei" w:hAnsi="Microsoft YaHei" w:eastAsia="Microsoft YaHei" w:cs="Microsoft YaHei"/>
          <w:sz w:val="43"/>
          <w:szCs w:val="43"/>
          <w:spacing w:val="7"/>
        </w:rPr>
        <w:t>监管动态</w:t>
      </w:r>
    </w:p>
    <w:p>
      <w:pPr>
        <w:ind w:firstLine="1324"/>
        <w:spacing w:before="206" w:line="51" w:lineRule="exact"/>
        <w:rPr/>
      </w:pPr>
      <w:r>
        <w:rPr>
          <w:position w:val="-1"/>
        </w:rPr>
        <w:drawing>
          <wp:inline distT="0" distB="0" distL="0" distR="0">
            <wp:extent cx="6675119" cy="32245"/>
            <wp:effectExtent l="0" t="0" r="0" b="0"/>
            <wp:docPr id="16" name="IM 16"/>
            <wp:cNvGraphicFramePr/>
            <a:graphic>
              <a:graphicData uri="http://schemas.openxmlformats.org/drawingml/2006/picture">
                <pic:pic>
                  <pic:nvPicPr>
                    <pic:cNvPr id="16" name="IM 16"/>
                    <pic:cNvPicPr/>
                  </pic:nvPicPr>
                  <pic:blipFill>
                    <a:blip r:embed="rId12"/>
                    <a:stretch>
                      <a:fillRect/>
                    </a:stretch>
                  </pic:blipFill>
                  <pic:spPr>
                    <a:xfrm rot="0">
                      <a:off x="0" y="0"/>
                      <a:ext cx="6675119" cy="32245"/>
                    </a:xfrm>
                    <a:prstGeom prst="rect">
                      <a:avLst/>
                    </a:prstGeom>
                  </pic:spPr>
                </pic:pic>
              </a:graphicData>
            </a:graphic>
          </wp:inline>
        </w:drawing>
      </w:r>
    </w:p>
    <w:p>
      <w:pPr>
        <w:pStyle w:val="BodyText"/>
        <w:spacing w:line="278" w:lineRule="auto"/>
        <w:rPr/>
      </w:pPr>
      <w:r/>
    </w:p>
    <w:p>
      <w:pPr>
        <w:pStyle w:val="BodyText"/>
        <w:spacing w:line="279" w:lineRule="auto"/>
        <w:rPr/>
      </w:pPr>
      <w:r/>
    </w:p>
    <w:p>
      <w:pPr>
        <w:ind w:left="339"/>
        <w:spacing w:before="120" w:line="183" w:lineRule="auto"/>
        <w:rPr>
          <w:rFonts w:ascii="Microsoft YaHei" w:hAnsi="Microsoft YaHei" w:eastAsia="Microsoft YaHei" w:cs="Microsoft YaHei"/>
          <w:sz w:val="28"/>
          <w:szCs w:val="28"/>
        </w:rPr>
      </w:pPr>
      <w:r>
        <w:drawing>
          <wp:anchor distT="0" distB="0" distL="0" distR="0" simplePos="0" relativeHeight="251672576" behindDoc="1" locked="0" layoutInCell="1" allowOverlap="1">
            <wp:simplePos x="0" y="0"/>
            <wp:positionH relativeFrom="column">
              <wp:posOffset>4572</wp:posOffset>
            </wp:positionH>
            <wp:positionV relativeFrom="paragraph">
              <wp:posOffset>-93906</wp:posOffset>
            </wp:positionV>
            <wp:extent cx="1711451" cy="586740"/>
            <wp:effectExtent l="0" t="0" r="0" b="0"/>
            <wp:wrapNone/>
            <wp:docPr id="18" name="IM 18"/>
            <wp:cNvGraphicFramePr/>
            <a:graphic>
              <a:graphicData uri="http://schemas.openxmlformats.org/drawingml/2006/picture">
                <pic:pic>
                  <pic:nvPicPr>
                    <pic:cNvPr id="18" name="IM 18"/>
                    <pic:cNvPicPr/>
                  </pic:nvPicPr>
                  <pic:blipFill>
                    <a:blip r:embed="rId13"/>
                    <a:stretch>
                      <a:fillRect/>
                    </a:stretch>
                  </pic:blipFill>
                  <pic:spPr>
                    <a:xfrm rot="0">
                      <a:off x="0" y="0"/>
                      <a:ext cx="1711451" cy="586740"/>
                    </a:xfrm>
                    <a:prstGeom prst="rect">
                      <a:avLst/>
                    </a:prstGeom>
                  </pic:spPr>
                </pic:pic>
              </a:graphicData>
            </a:graphic>
          </wp:anchor>
        </w:drawing>
      </w:r>
      <w:r>
        <w:rPr>
          <w:rFonts w:ascii="Microsoft YaHei" w:hAnsi="Microsoft YaHei" w:eastAsia="Microsoft YaHei" w:cs="Microsoft YaHei"/>
          <w:sz w:val="28"/>
          <w:szCs w:val="28"/>
          <w:b/>
          <w:bCs/>
          <w:color w:val="FFFFFF"/>
          <w:spacing w:val="-1"/>
        </w:rPr>
        <w:t>上交所监管动态</w:t>
      </w:r>
    </w:p>
    <w:p>
      <w:pPr>
        <w:pStyle w:val="BodyText"/>
        <w:spacing w:line="252" w:lineRule="auto"/>
        <w:rPr/>
      </w:pPr>
      <w:r/>
    </w:p>
    <w:p>
      <w:pPr>
        <w:pStyle w:val="BodyText"/>
        <w:spacing w:line="252" w:lineRule="auto"/>
        <w:rPr/>
      </w:pPr>
      <w:r/>
    </w:p>
    <w:p>
      <w:pPr>
        <w:ind w:left="886"/>
        <w:spacing w:before="104"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1、上市公司监管动态</w:t>
      </w:r>
    </w:p>
    <w:p>
      <w:pPr>
        <w:ind w:left="444" w:right="583" w:firstLine="473"/>
        <w:spacing w:before="171"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rPr>
        <w:t>2024年7月29日-8月4日， 上交所公司监管部门作出10份监管警示函， 对8宗行为予以纪</w:t>
      </w:r>
      <w:r>
        <w:rPr>
          <w:rFonts w:ascii="Microsoft YaHei" w:hAnsi="Microsoft YaHei" w:eastAsia="Microsoft YaHei" w:cs="Microsoft YaHei"/>
          <w:sz w:val="24"/>
          <w:szCs w:val="24"/>
          <w:spacing w:val="-1"/>
        </w:rPr>
        <w:t>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同时， 加大信息披露和股价异常的联动监管， 针对公司披露敏感信息或股</w:t>
      </w:r>
      <w:r>
        <w:rPr>
          <w:rFonts w:ascii="Microsoft YaHei" w:hAnsi="Microsoft YaHei" w:eastAsia="Microsoft YaHei" w:cs="Microsoft YaHei"/>
          <w:sz w:val="24"/>
          <w:szCs w:val="24"/>
          <w:spacing w:val="-5"/>
        </w:rPr>
        <w:t>价发生明显异常的， 提请启动</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2"/>
        </w:rPr>
        <w:t>内幕交易、异常交易核查7单。</w:t>
      </w:r>
    </w:p>
    <w:p>
      <w:pPr>
        <w:pStyle w:val="BodyText"/>
        <w:spacing w:line="295" w:lineRule="auto"/>
        <w:rPr/>
      </w:pPr>
      <w:r/>
    </w:p>
    <w:p>
      <w:pPr>
        <w:ind w:firstLine="1292"/>
        <w:spacing w:line="5222" w:lineRule="exact"/>
        <w:rPr/>
      </w:pPr>
      <w:r>
        <w:rPr>
          <w:position w:val="-104"/>
        </w:rPr>
        <w:drawing>
          <wp:inline distT="0" distB="0" distL="0" distR="0">
            <wp:extent cx="5765800" cy="3315970"/>
            <wp:effectExtent l="0" t="0" r="0" b="0"/>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5765800" cy="3315970"/>
                    </a:xfrm>
                    <a:prstGeom prst="rect">
                      <a:avLst/>
                    </a:prstGeom>
                  </pic:spPr>
                </pic:pic>
              </a:graphicData>
            </a:graphic>
          </wp:inline>
        </w:drawing>
      </w:r>
    </w:p>
    <w:p>
      <w:pPr>
        <w:pStyle w:val="BodyText"/>
        <w:spacing w:line="309" w:lineRule="auto"/>
        <w:rPr/>
      </w:pPr>
      <w:r/>
    </w:p>
    <w:p>
      <w:pPr>
        <w:pStyle w:val="BodyText"/>
        <w:spacing w:line="309" w:lineRule="auto"/>
        <w:rPr/>
      </w:pPr>
      <w:r/>
    </w:p>
    <w:p>
      <w:pPr>
        <w:ind w:left="742"/>
        <w:spacing w:before="104"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（1） 监管措施统计</w:t>
      </w:r>
    </w:p>
    <w:p>
      <w:pPr>
        <w:spacing w:line="211" w:lineRule="exact"/>
        <w:rPr/>
      </w:pPr>
      <w:r/>
    </w:p>
    <w:tbl>
      <w:tblPr>
        <w:tblStyle w:val="TableNormal"/>
        <w:tblW w:w="9054" w:type="dxa"/>
        <w:tblInd w:w="1320"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607"/>
        <w:gridCol w:w="1215"/>
        <w:gridCol w:w="1324"/>
        <w:gridCol w:w="4908"/>
      </w:tblGrid>
      <w:tr>
        <w:trPr>
          <w:trHeight w:val="378" w:hRule="atLeast"/>
        </w:trPr>
        <w:tc>
          <w:tcPr>
            <w:shd w:val="clear" w:fill="C0504D"/>
            <w:tcW w:w="1607" w:type="dxa"/>
            <w:vAlign w:val="top"/>
            <w:tcBorders>
              <w:bottom w:val="single" w:color="FFFFFF" w:sz="10" w:space="0"/>
            </w:tcBorders>
          </w:tcPr>
          <w:p>
            <w:pPr>
              <w:pStyle w:val="TableText"/>
              <w:ind w:left="377"/>
              <w:spacing w:before="90"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0" w:line="189" w:lineRule="auto"/>
              <w:rPr/>
            </w:pPr>
            <w:r>
              <w:rPr>
                <w:b/>
                <w:bCs/>
                <w:color w:val="FFFFFF"/>
                <w:spacing w:val="8"/>
              </w:rPr>
              <w:t>公司简称</w:t>
            </w:r>
          </w:p>
        </w:tc>
        <w:tc>
          <w:tcPr>
            <w:shd w:val="clear" w:fill="C0504D"/>
            <w:tcW w:w="1324" w:type="dxa"/>
            <w:vAlign w:val="top"/>
            <w:tcBorders>
              <w:bottom w:val="single" w:color="FFFFFF" w:sz="10" w:space="0"/>
            </w:tcBorders>
          </w:tcPr>
          <w:p>
            <w:pPr>
              <w:pStyle w:val="TableText"/>
              <w:ind w:left="246"/>
              <w:spacing w:before="92" w:line="188" w:lineRule="auto"/>
              <w:rPr/>
            </w:pPr>
            <w:r>
              <w:rPr>
                <w:b/>
                <w:bCs/>
                <w:color w:val="FFFFFF"/>
                <w:spacing w:val="5"/>
              </w:rPr>
              <w:t>函件类别</w:t>
            </w:r>
          </w:p>
        </w:tc>
        <w:tc>
          <w:tcPr>
            <w:shd w:val="clear" w:fill="C0504D"/>
            <w:tcW w:w="4908" w:type="dxa"/>
            <w:vAlign w:val="top"/>
            <w:tcBorders>
              <w:bottom w:val="single" w:color="FFFFFF" w:sz="10" w:space="0"/>
            </w:tcBorders>
          </w:tcPr>
          <w:p>
            <w:pPr>
              <w:pStyle w:val="TableText"/>
              <w:ind w:left="2026"/>
              <w:spacing w:before="90" w:line="189" w:lineRule="auto"/>
              <w:rPr/>
            </w:pPr>
            <w:r>
              <w:rPr>
                <w:b/>
                <w:bCs/>
                <w:color w:val="FFFFFF"/>
                <w:spacing w:val="8"/>
              </w:rPr>
              <w:t>违规类型</w:t>
            </w:r>
          </w:p>
        </w:tc>
      </w:tr>
      <w:tr>
        <w:trPr>
          <w:trHeight w:val="719" w:hRule="atLeast"/>
        </w:trPr>
        <w:tc>
          <w:tcPr>
            <w:tcW w:w="1607" w:type="dxa"/>
            <w:vAlign w:val="top"/>
            <w:tcBorders>
              <w:top w:val="single" w:color="FFFFFF" w:sz="10" w:space="0"/>
            </w:tcBorders>
          </w:tcPr>
          <w:p>
            <w:pPr>
              <w:pStyle w:val="TableText"/>
              <w:ind w:left="436"/>
              <w:spacing w:before="271" w:line="178" w:lineRule="auto"/>
              <w:rPr/>
            </w:pPr>
            <w:r>
              <w:rPr>
                <w:spacing w:val="3"/>
              </w:rPr>
              <w:t>600203</w:t>
            </w:r>
          </w:p>
        </w:tc>
        <w:tc>
          <w:tcPr>
            <w:tcW w:w="1215" w:type="dxa"/>
            <w:vAlign w:val="top"/>
            <w:tcBorders>
              <w:top w:val="single" w:color="FFFFFF" w:sz="10" w:space="0"/>
            </w:tcBorders>
          </w:tcPr>
          <w:p>
            <w:pPr>
              <w:pStyle w:val="TableText"/>
              <w:ind w:left="178"/>
              <w:spacing w:before="256" w:line="189" w:lineRule="auto"/>
              <w:rPr/>
            </w:pPr>
            <w:r>
              <w:rPr>
                <w:spacing w:val="8"/>
              </w:rPr>
              <w:t>福日电子</w:t>
            </w:r>
          </w:p>
        </w:tc>
        <w:tc>
          <w:tcPr>
            <w:tcW w:w="1324" w:type="dxa"/>
            <w:vAlign w:val="top"/>
            <w:tcBorders>
              <w:top w:val="single" w:color="FFFFFF" w:sz="10" w:space="0"/>
            </w:tcBorders>
          </w:tcPr>
          <w:p>
            <w:pPr>
              <w:pStyle w:val="TableText"/>
              <w:ind w:left="236"/>
              <w:spacing w:before="256" w:line="189" w:lineRule="auto"/>
              <w:rPr/>
            </w:pPr>
            <w:r>
              <w:rPr>
                <w:spacing w:val="8"/>
              </w:rPr>
              <w:t>监管警示</w:t>
            </w:r>
          </w:p>
        </w:tc>
        <w:tc>
          <w:tcPr>
            <w:tcW w:w="4908" w:type="dxa"/>
            <w:vAlign w:val="top"/>
            <w:tcBorders>
              <w:top w:val="single" w:color="FFFFFF" w:sz="10" w:space="0"/>
            </w:tcBorders>
          </w:tcPr>
          <w:p>
            <w:pPr>
              <w:pStyle w:val="TableText"/>
              <w:ind w:left="2" w:right="63"/>
              <w:spacing w:before="77" w:line="221" w:lineRule="auto"/>
              <w:rPr/>
            </w:pPr>
            <w:r>
              <w:rPr>
                <w:spacing w:val="9"/>
              </w:rPr>
              <w:t>公司年度报告中出现包括主要会计数据、主要财务指</w:t>
            </w:r>
            <w:r>
              <w:rPr>
                <w:spacing w:val="18"/>
              </w:rPr>
              <w:t xml:space="preserve"> </w:t>
            </w:r>
            <w:r>
              <w:rPr>
                <w:spacing w:val="7"/>
              </w:rPr>
              <w:t>标等</w:t>
            </w:r>
            <w:r>
              <w:rPr>
                <w:b/>
                <w:bCs/>
                <w:spacing w:val="7"/>
              </w:rPr>
              <w:t>多处错误。</w:t>
            </w:r>
          </w:p>
        </w:tc>
      </w:tr>
      <w:tr>
        <w:trPr>
          <w:trHeight w:val="364" w:hRule="atLeast"/>
        </w:trPr>
        <w:tc>
          <w:tcPr>
            <w:shd w:val="clear" w:fill="F2DCDC"/>
            <w:tcW w:w="1607" w:type="dxa"/>
            <w:vAlign w:val="top"/>
          </w:tcPr>
          <w:p>
            <w:pPr>
              <w:pStyle w:val="TableText"/>
              <w:ind w:left="436"/>
              <w:spacing w:before="99" w:line="178" w:lineRule="auto"/>
              <w:rPr/>
            </w:pPr>
            <w:r>
              <w:rPr>
                <w:spacing w:val="3"/>
              </w:rPr>
              <w:t>688560</w:t>
            </w:r>
          </w:p>
        </w:tc>
        <w:tc>
          <w:tcPr>
            <w:shd w:val="clear" w:fill="F2DCDC"/>
            <w:tcW w:w="1215" w:type="dxa"/>
            <w:vAlign w:val="top"/>
          </w:tcPr>
          <w:p>
            <w:pPr>
              <w:pStyle w:val="TableText"/>
              <w:ind w:left="190"/>
              <w:spacing w:before="83" w:line="189" w:lineRule="auto"/>
              <w:rPr/>
            </w:pPr>
            <w:r>
              <w:rPr>
                <w:spacing w:val="5"/>
              </w:rPr>
              <w:t>明冠新材</w:t>
            </w:r>
          </w:p>
        </w:tc>
        <w:tc>
          <w:tcPr>
            <w:shd w:val="clear" w:fill="F2DCDC"/>
            <w:tcW w:w="1324" w:type="dxa"/>
            <w:vAlign w:val="top"/>
          </w:tcPr>
          <w:p>
            <w:pPr>
              <w:pStyle w:val="TableText"/>
              <w:ind w:left="236"/>
              <w:spacing w:before="83" w:line="189" w:lineRule="auto"/>
              <w:rPr/>
            </w:pPr>
            <w:r>
              <w:rPr>
                <w:spacing w:val="8"/>
              </w:rPr>
              <w:t>监管警示</w:t>
            </w:r>
          </w:p>
        </w:tc>
        <w:tc>
          <w:tcPr>
            <w:shd w:val="clear" w:fill="F2DCDC"/>
            <w:tcW w:w="4908" w:type="dxa"/>
            <w:vAlign w:val="top"/>
          </w:tcPr>
          <w:p>
            <w:pPr>
              <w:pStyle w:val="TableText"/>
              <w:ind w:left="2"/>
              <w:spacing w:before="83" w:line="189" w:lineRule="auto"/>
              <w:rPr/>
            </w:pPr>
            <w:r>
              <w:rPr>
                <w:spacing w:val="8"/>
              </w:rPr>
              <w:t>公司</w:t>
            </w:r>
            <w:r>
              <w:rPr>
                <w:b/>
                <w:bCs/>
                <w:spacing w:val="8"/>
              </w:rPr>
              <w:t>业绩快报</w:t>
            </w:r>
            <w:r>
              <w:rPr>
                <w:spacing w:val="8"/>
              </w:rPr>
              <w:t>披露不准确。</w:t>
            </w:r>
          </w:p>
        </w:tc>
      </w:tr>
      <w:tr>
        <w:trPr>
          <w:trHeight w:val="1441" w:hRule="atLeast"/>
        </w:trPr>
        <w:tc>
          <w:tcPr>
            <w:tcW w:w="1607" w:type="dxa"/>
            <w:vAlign w:val="top"/>
          </w:tcPr>
          <w:p>
            <w:pPr>
              <w:spacing w:line="275" w:lineRule="auto"/>
              <w:rPr>
                <w:rFonts w:ascii="Arial"/>
                <w:sz w:val="21"/>
              </w:rPr>
            </w:pPr>
            <w:r/>
          </w:p>
          <w:p>
            <w:pPr>
              <w:spacing w:line="275" w:lineRule="auto"/>
              <w:rPr>
                <w:rFonts w:ascii="Arial"/>
                <w:sz w:val="21"/>
              </w:rPr>
            </w:pPr>
            <w:r/>
          </w:p>
          <w:p>
            <w:pPr>
              <w:pStyle w:val="TableText"/>
              <w:ind w:left="436"/>
              <w:spacing w:before="85" w:line="178" w:lineRule="auto"/>
              <w:rPr/>
            </w:pPr>
            <w:r>
              <w:rPr>
                <w:spacing w:val="3"/>
              </w:rPr>
              <w:t>600766</w:t>
            </w:r>
          </w:p>
        </w:tc>
        <w:tc>
          <w:tcPr>
            <w:tcW w:w="1215" w:type="dxa"/>
            <w:vAlign w:val="top"/>
          </w:tcPr>
          <w:p>
            <w:pPr>
              <w:spacing w:line="266" w:lineRule="auto"/>
              <w:rPr>
                <w:rFonts w:ascii="Arial"/>
                <w:sz w:val="21"/>
              </w:rPr>
            </w:pPr>
            <w:r/>
          </w:p>
          <w:p>
            <w:pPr>
              <w:spacing w:line="267" w:lineRule="auto"/>
              <w:rPr>
                <w:rFonts w:ascii="Arial"/>
                <w:sz w:val="21"/>
              </w:rPr>
            </w:pPr>
            <w:r/>
          </w:p>
          <w:p>
            <w:pPr>
              <w:pStyle w:val="TableText"/>
              <w:ind w:left="177"/>
              <w:spacing w:before="86" w:line="190" w:lineRule="auto"/>
              <w:rPr/>
            </w:pPr>
            <w:r>
              <w:rPr>
                <w:spacing w:val="8"/>
              </w:rPr>
              <w:t>退市园城</w:t>
            </w:r>
          </w:p>
        </w:tc>
        <w:tc>
          <w:tcPr>
            <w:tcW w:w="1324" w:type="dxa"/>
            <w:vAlign w:val="top"/>
          </w:tcPr>
          <w:p>
            <w:pPr>
              <w:spacing w:line="269" w:lineRule="auto"/>
              <w:rPr>
                <w:rFonts w:ascii="Arial"/>
                <w:sz w:val="21"/>
              </w:rPr>
            </w:pPr>
            <w:r/>
          </w:p>
          <w:p>
            <w:pPr>
              <w:spacing w:line="269" w:lineRule="auto"/>
              <w:rPr>
                <w:rFonts w:ascii="Arial"/>
                <w:sz w:val="21"/>
              </w:rPr>
            </w:pPr>
            <w:r/>
          </w:p>
          <w:p>
            <w:pPr>
              <w:pStyle w:val="TableText"/>
              <w:ind w:left="234"/>
              <w:spacing w:before="86" w:line="187" w:lineRule="auto"/>
              <w:rPr/>
            </w:pPr>
            <w:r>
              <w:rPr>
                <w:spacing w:val="8"/>
              </w:rPr>
              <w:t>公开谴责</w:t>
            </w:r>
          </w:p>
        </w:tc>
        <w:tc>
          <w:tcPr>
            <w:tcW w:w="4908" w:type="dxa"/>
            <w:vAlign w:val="top"/>
          </w:tcPr>
          <w:p>
            <w:pPr>
              <w:pStyle w:val="TableText"/>
              <w:ind w:left="2" w:right="63"/>
              <w:spacing w:before="81" w:line="236" w:lineRule="auto"/>
              <w:rPr/>
            </w:pPr>
            <w:r>
              <w:rPr>
                <w:spacing w:val="6"/>
              </w:rPr>
              <w:t>公司2023年年度</w:t>
            </w:r>
            <w:r>
              <w:rPr>
                <w:b/>
                <w:bCs/>
                <w:spacing w:val="6"/>
              </w:rPr>
              <w:t>业绩预告</w:t>
            </w:r>
            <w:r>
              <w:rPr>
                <w:spacing w:val="6"/>
              </w:rPr>
              <w:t>披露不准确； 对前期业绩</w:t>
            </w:r>
            <w:r>
              <w:rPr>
                <w:spacing w:val="3"/>
              </w:rPr>
              <w:t xml:space="preserve">   </w:t>
            </w:r>
            <w:r>
              <w:rPr>
                <w:spacing w:val="4"/>
              </w:rPr>
              <w:t>预告进行更正， 年审机构提供了情况说明， 公司拒不</w:t>
            </w:r>
            <w:r>
              <w:rPr>
                <w:spacing w:val="6"/>
              </w:rPr>
              <w:t xml:space="preserve"> </w:t>
            </w:r>
            <w:r>
              <w:rPr>
                <w:spacing w:val="6"/>
              </w:rPr>
              <w:t>披露上述重大事项； 时任总经理未对2023年年度报</w:t>
            </w:r>
            <w:r>
              <w:rPr>
                <w:spacing w:val="2"/>
              </w:rPr>
              <w:t xml:space="preserve">   </w:t>
            </w:r>
            <w:r>
              <w:rPr>
                <w:spacing w:val="7"/>
              </w:rPr>
              <w:t>告、</w:t>
            </w:r>
            <w:r>
              <w:rPr>
                <w:spacing w:val="-32"/>
              </w:rPr>
              <w:t xml:space="preserve"> </w:t>
            </w:r>
            <w:r>
              <w:rPr>
                <w:spacing w:val="7"/>
              </w:rPr>
              <w:t>2024年第一季度报告</w:t>
            </w:r>
            <w:r>
              <w:rPr>
                <w:b/>
                <w:bCs/>
                <w:spacing w:val="7"/>
              </w:rPr>
              <w:t>签署书面意见。</w:t>
            </w:r>
          </w:p>
        </w:tc>
      </w:tr>
      <w:tr>
        <w:trPr>
          <w:trHeight w:val="364" w:hRule="atLeast"/>
        </w:trPr>
        <w:tc>
          <w:tcPr>
            <w:shd w:val="clear" w:fill="F2DCDC"/>
            <w:tcW w:w="1607" w:type="dxa"/>
            <w:vAlign w:val="top"/>
          </w:tcPr>
          <w:p>
            <w:pPr>
              <w:pStyle w:val="TableText"/>
              <w:ind w:left="436"/>
              <w:spacing w:before="103" w:line="175" w:lineRule="auto"/>
              <w:rPr/>
            </w:pPr>
            <w:r>
              <w:rPr>
                <w:spacing w:val="3"/>
              </w:rPr>
              <w:t>688159</w:t>
            </w:r>
          </w:p>
        </w:tc>
        <w:tc>
          <w:tcPr>
            <w:shd w:val="clear" w:fill="F2DCDC"/>
            <w:tcW w:w="1215" w:type="dxa"/>
            <w:vAlign w:val="top"/>
          </w:tcPr>
          <w:p>
            <w:pPr>
              <w:pStyle w:val="TableText"/>
              <w:ind w:left="177"/>
              <w:spacing w:before="89" w:line="185" w:lineRule="auto"/>
              <w:rPr/>
            </w:pPr>
            <w:r>
              <w:rPr>
                <w:spacing w:val="8"/>
              </w:rPr>
              <w:t>有方科技</w:t>
            </w:r>
          </w:p>
        </w:tc>
        <w:tc>
          <w:tcPr>
            <w:shd w:val="clear" w:fill="F2DCDC"/>
            <w:tcW w:w="1324" w:type="dxa"/>
            <w:vAlign w:val="top"/>
          </w:tcPr>
          <w:p>
            <w:pPr>
              <w:pStyle w:val="TableText"/>
              <w:ind w:left="234"/>
              <w:spacing w:before="90" w:line="184" w:lineRule="auto"/>
              <w:rPr/>
            </w:pPr>
            <w:r>
              <w:rPr>
                <w:spacing w:val="8"/>
              </w:rPr>
              <w:t>通报批评</w:t>
            </w:r>
          </w:p>
        </w:tc>
        <w:tc>
          <w:tcPr>
            <w:shd w:val="clear" w:fill="F2DCDC"/>
            <w:tcW w:w="4908" w:type="dxa"/>
            <w:vAlign w:val="top"/>
          </w:tcPr>
          <w:p>
            <w:pPr>
              <w:pStyle w:val="TableText"/>
              <w:ind w:left="2"/>
              <w:spacing w:before="89" w:line="185" w:lineRule="auto"/>
              <w:rPr/>
            </w:pPr>
            <w:r>
              <w:rPr>
                <w:spacing w:val="9"/>
              </w:rPr>
              <w:t>公司</w:t>
            </w:r>
            <w:r>
              <w:rPr>
                <w:b/>
                <w:bCs/>
                <w:spacing w:val="9"/>
              </w:rPr>
              <w:t>业绩预告、业绩快报</w:t>
            </w:r>
            <w:r>
              <w:rPr>
                <w:spacing w:val="9"/>
              </w:rPr>
              <w:t>披露不准确且未及时修正。</w:t>
            </w:r>
          </w:p>
        </w:tc>
      </w:tr>
      <w:tr>
        <w:trPr>
          <w:trHeight w:val="722" w:hRule="atLeast"/>
        </w:trPr>
        <w:tc>
          <w:tcPr>
            <w:tcW w:w="1607" w:type="dxa"/>
            <w:vAlign w:val="top"/>
          </w:tcPr>
          <w:p>
            <w:pPr>
              <w:pStyle w:val="TableText"/>
              <w:ind w:left="436"/>
              <w:spacing w:before="285" w:line="178" w:lineRule="auto"/>
              <w:rPr/>
            </w:pPr>
            <w:r>
              <w:rPr>
                <w:spacing w:val="3"/>
              </w:rPr>
              <w:t>600804</w:t>
            </w:r>
          </w:p>
        </w:tc>
        <w:tc>
          <w:tcPr>
            <w:tcW w:w="1215" w:type="dxa"/>
            <w:vAlign w:val="top"/>
          </w:tcPr>
          <w:p>
            <w:pPr>
              <w:pStyle w:val="TableText"/>
              <w:ind w:left="226"/>
              <w:spacing w:before="270" w:line="189" w:lineRule="auto"/>
              <w:rPr/>
            </w:pPr>
            <w:r>
              <w:rPr>
                <w:spacing w:val="8"/>
              </w:rPr>
              <w:t>*</w:t>
            </w:r>
            <w:r>
              <w:rPr/>
              <w:t>ST</w:t>
            </w:r>
            <w:r>
              <w:rPr>
                <w:spacing w:val="8"/>
              </w:rPr>
              <w:t>鹏博</w:t>
            </w:r>
          </w:p>
        </w:tc>
        <w:tc>
          <w:tcPr>
            <w:tcW w:w="1324" w:type="dxa"/>
            <w:vAlign w:val="top"/>
          </w:tcPr>
          <w:p>
            <w:pPr>
              <w:pStyle w:val="TableText"/>
              <w:ind w:left="236"/>
              <w:spacing w:before="270" w:line="189" w:lineRule="auto"/>
              <w:rPr/>
            </w:pPr>
            <w:r>
              <w:rPr>
                <w:spacing w:val="8"/>
              </w:rPr>
              <w:t>监管警示</w:t>
            </w:r>
          </w:p>
        </w:tc>
        <w:tc>
          <w:tcPr>
            <w:tcW w:w="4908" w:type="dxa"/>
            <w:vAlign w:val="top"/>
          </w:tcPr>
          <w:p>
            <w:pPr>
              <w:pStyle w:val="TableText"/>
              <w:ind w:left="2" w:right="63"/>
              <w:spacing w:before="91" w:line="217" w:lineRule="auto"/>
              <w:rPr/>
            </w:pPr>
            <w:r>
              <w:rPr>
                <w:spacing w:val="9"/>
              </w:rPr>
              <w:t>公司</w:t>
            </w:r>
            <w:r>
              <w:rPr>
                <w:b/>
                <w:bCs/>
                <w:spacing w:val="9"/>
              </w:rPr>
              <w:t>设立全资孙公司、投资参股公司</w:t>
            </w:r>
            <w:r>
              <w:rPr>
                <w:spacing w:val="9"/>
              </w:rPr>
              <w:t>未及时履行董事</w:t>
            </w:r>
            <w:r>
              <w:rPr>
                <w:spacing w:val="18"/>
              </w:rPr>
              <w:t xml:space="preserve"> </w:t>
            </w:r>
            <w:r>
              <w:rPr>
                <w:spacing w:val="8"/>
              </w:rPr>
              <w:t>会决策程序及信息披露义务。</w:t>
            </w:r>
          </w:p>
        </w:tc>
      </w:tr>
      <w:tr>
        <w:trPr>
          <w:trHeight w:val="372" w:hRule="atLeast"/>
        </w:trPr>
        <w:tc>
          <w:tcPr>
            <w:shd w:val="clear" w:fill="F2DCDC"/>
            <w:tcW w:w="1607" w:type="dxa"/>
            <w:vAlign w:val="top"/>
          </w:tcPr>
          <w:p>
            <w:pPr>
              <w:pStyle w:val="TableText"/>
              <w:ind w:left="436"/>
              <w:spacing w:before="107" w:line="178" w:lineRule="auto"/>
              <w:rPr/>
            </w:pPr>
            <w:r>
              <w:rPr>
                <w:spacing w:val="3"/>
              </w:rPr>
              <w:t>688071</w:t>
            </w:r>
          </w:p>
        </w:tc>
        <w:tc>
          <w:tcPr>
            <w:shd w:val="clear" w:fill="F2DCDC"/>
            <w:tcW w:w="1215" w:type="dxa"/>
            <w:vAlign w:val="top"/>
          </w:tcPr>
          <w:p>
            <w:pPr>
              <w:pStyle w:val="TableText"/>
              <w:ind w:left="179"/>
              <w:spacing w:before="94" w:line="187" w:lineRule="auto"/>
              <w:rPr/>
            </w:pPr>
            <w:r>
              <w:rPr>
                <w:spacing w:val="8"/>
              </w:rPr>
              <w:t>华依科技</w:t>
            </w:r>
          </w:p>
        </w:tc>
        <w:tc>
          <w:tcPr>
            <w:shd w:val="clear" w:fill="F2DCDC"/>
            <w:tcW w:w="1324" w:type="dxa"/>
            <w:vAlign w:val="top"/>
          </w:tcPr>
          <w:p>
            <w:pPr>
              <w:pStyle w:val="TableText"/>
              <w:ind w:left="234"/>
              <w:spacing w:before="96" w:line="186" w:lineRule="auto"/>
              <w:rPr/>
            </w:pPr>
            <w:r>
              <w:rPr>
                <w:spacing w:val="8"/>
              </w:rPr>
              <w:t>通报批评</w:t>
            </w:r>
          </w:p>
        </w:tc>
        <w:tc>
          <w:tcPr>
            <w:shd w:val="clear" w:fill="F2DCDC"/>
            <w:tcW w:w="4908" w:type="dxa"/>
            <w:vAlign w:val="top"/>
          </w:tcPr>
          <w:p>
            <w:pPr>
              <w:pStyle w:val="TableText"/>
              <w:ind w:left="2"/>
              <w:spacing w:before="94" w:line="187" w:lineRule="auto"/>
              <w:rPr/>
            </w:pPr>
            <w:r>
              <w:rPr>
                <w:spacing w:val="9"/>
              </w:rPr>
              <w:t>公司</w:t>
            </w:r>
            <w:r>
              <w:rPr>
                <w:b/>
                <w:bCs/>
                <w:spacing w:val="9"/>
              </w:rPr>
              <w:t>业绩预告、业绩快报</w:t>
            </w:r>
            <w:r>
              <w:rPr>
                <w:spacing w:val="9"/>
              </w:rPr>
              <w:t>披露不准确且未及时修正。</w:t>
            </w:r>
          </w:p>
        </w:tc>
      </w:tr>
    </w:tbl>
    <w:p>
      <w:pPr>
        <w:pStyle w:val="BodyText"/>
        <w:rPr/>
      </w:pPr>
      <w:r/>
    </w:p>
    <w:p>
      <w:pPr>
        <w:sectPr>
          <w:headerReference w:type="default" r:id="rId11"/>
          <w:pgSz w:w="11910" w:h="16840"/>
          <w:pgMar w:top="314" w:right="59" w:bottom="0" w:left="14" w:header="0" w:footer="0" w:gutter="0"/>
        </w:sectPr>
        <w:rPr/>
      </w:pPr>
    </w:p>
    <w:tbl>
      <w:tblPr>
        <w:tblStyle w:val="TableNormal"/>
        <w:tblW w:w="9054" w:type="dxa"/>
        <w:tblInd w:w="89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607"/>
        <w:gridCol w:w="1215"/>
        <w:gridCol w:w="1324"/>
        <w:gridCol w:w="4908"/>
      </w:tblGrid>
      <w:tr>
        <w:trPr>
          <w:trHeight w:val="1104" w:hRule="atLeast"/>
        </w:trPr>
        <w:tc>
          <w:tcPr>
            <w:tcW w:w="1607" w:type="dxa"/>
            <w:vAlign w:val="top"/>
            <w:tcBorders>
              <w:top w:val="single" w:color="FFFFFF" w:sz="2" w:space="0"/>
            </w:tcBorders>
          </w:tcPr>
          <w:p>
            <w:pPr>
              <w:spacing w:line="386" w:lineRule="auto"/>
              <w:rPr>
                <w:rFonts w:ascii="Arial"/>
                <w:sz w:val="21"/>
              </w:rPr>
            </w:pPr>
            <w:r/>
          </w:p>
          <w:p>
            <w:pPr>
              <w:pStyle w:val="TableText"/>
              <w:ind w:left="436"/>
              <w:spacing w:before="86" w:line="178" w:lineRule="auto"/>
              <w:rPr/>
            </w:pPr>
            <w:r>
              <w:rPr>
                <w:spacing w:val="3"/>
              </w:rPr>
              <w:t>600804</w:t>
            </w:r>
          </w:p>
        </w:tc>
        <w:tc>
          <w:tcPr>
            <w:tcW w:w="1215" w:type="dxa"/>
            <w:vAlign w:val="top"/>
            <w:tcBorders>
              <w:top w:val="single" w:color="FFFFFF" w:sz="2" w:space="0"/>
            </w:tcBorders>
          </w:tcPr>
          <w:p>
            <w:pPr>
              <w:spacing w:line="372" w:lineRule="auto"/>
              <w:rPr>
                <w:rFonts w:ascii="Arial"/>
                <w:sz w:val="21"/>
              </w:rPr>
            </w:pPr>
            <w:r/>
          </w:p>
          <w:p>
            <w:pPr>
              <w:pStyle w:val="TableText"/>
              <w:ind w:left="226"/>
              <w:spacing w:before="85" w:line="189" w:lineRule="auto"/>
              <w:rPr/>
            </w:pPr>
            <w:r>
              <w:rPr>
                <w:spacing w:val="8"/>
              </w:rPr>
              <w:t>*</w:t>
            </w:r>
            <w:r>
              <w:rPr/>
              <w:t>ST</w:t>
            </w:r>
            <w:r>
              <w:rPr>
                <w:spacing w:val="8"/>
              </w:rPr>
              <w:t>鹏博</w:t>
            </w:r>
          </w:p>
        </w:tc>
        <w:tc>
          <w:tcPr>
            <w:tcW w:w="1324" w:type="dxa"/>
            <w:vAlign w:val="top"/>
            <w:tcBorders>
              <w:top w:val="single" w:color="FFFFFF" w:sz="2" w:space="0"/>
            </w:tcBorders>
          </w:tcPr>
          <w:p>
            <w:pPr>
              <w:spacing w:line="373" w:lineRule="auto"/>
              <w:rPr>
                <w:rFonts w:ascii="Arial"/>
                <w:sz w:val="21"/>
              </w:rPr>
            </w:pPr>
            <w:r/>
          </w:p>
          <w:p>
            <w:pPr>
              <w:pStyle w:val="TableText"/>
              <w:ind w:left="234"/>
              <w:spacing w:before="86" w:line="188" w:lineRule="auto"/>
              <w:rPr/>
            </w:pPr>
            <w:r>
              <w:rPr>
                <w:spacing w:val="8"/>
              </w:rPr>
              <w:t>通报批评</w:t>
            </w:r>
          </w:p>
        </w:tc>
        <w:tc>
          <w:tcPr>
            <w:tcW w:w="4908" w:type="dxa"/>
            <w:vAlign w:val="top"/>
            <w:tcBorders>
              <w:top w:val="single" w:color="FFFFFF" w:sz="2" w:space="0"/>
            </w:tcBorders>
          </w:tcPr>
          <w:p>
            <w:pPr>
              <w:pStyle w:val="TableText"/>
              <w:ind w:left="2" w:right="63" w:firstLine="9"/>
              <w:spacing w:before="103" w:line="231" w:lineRule="auto"/>
              <w:rPr/>
            </w:pPr>
            <w:r>
              <w:rPr>
                <w:spacing w:val="6"/>
              </w:rPr>
              <w:t>2023年年度</w:t>
            </w:r>
            <w:r>
              <w:rPr>
                <w:b/>
                <w:bCs/>
                <w:spacing w:val="6"/>
              </w:rPr>
              <w:t>业绩预告</w:t>
            </w:r>
            <w:r>
              <w:rPr>
                <w:spacing w:val="6"/>
              </w:rPr>
              <w:t>披露不准确且更正不及时； 公</w:t>
            </w:r>
            <w:r>
              <w:rPr/>
              <w:t xml:space="preserve">   </w:t>
            </w:r>
            <w:r>
              <w:rPr>
                <w:spacing w:val="7"/>
              </w:rPr>
              <w:t>司</w:t>
            </w:r>
            <w:r>
              <w:rPr>
                <w:b/>
                <w:bCs/>
                <w:spacing w:val="7"/>
              </w:rPr>
              <w:t>设立全资孙公司、投资参股公司</w:t>
            </w:r>
            <w:r>
              <w:rPr>
                <w:spacing w:val="7"/>
              </w:rPr>
              <w:t>， 未履行董事</w:t>
            </w:r>
            <w:r>
              <w:rPr>
                <w:spacing w:val="6"/>
              </w:rPr>
              <w:t>会决</w:t>
            </w:r>
            <w:r>
              <w:rPr/>
              <w:t xml:space="preserve"> </w:t>
            </w:r>
            <w:r>
              <w:rPr>
                <w:spacing w:val="8"/>
              </w:rPr>
              <w:t>策程序及信息披露义务。</w:t>
            </w:r>
          </w:p>
        </w:tc>
      </w:tr>
      <w:tr>
        <w:trPr>
          <w:trHeight w:val="1444" w:hRule="atLeast"/>
        </w:trPr>
        <w:tc>
          <w:tcPr>
            <w:shd w:val="clear" w:fill="F2DCDC"/>
            <w:tcW w:w="1607" w:type="dxa"/>
            <w:vAlign w:val="top"/>
          </w:tcPr>
          <w:p>
            <w:pPr>
              <w:spacing w:line="273" w:lineRule="auto"/>
              <w:rPr>
                <w:rFonts w:ascii="Arial"/>
                <w:sz w:val="21"/>
              </w:rPr>
            </w:pPr>
            <w:r/>
          </w:p>
          <w:p>
            <w:pPr>
              <w:spacing w:line="273" w:lineRule="auto"/>
              <w:rPr>
                <w:rFonts w:ascii="Arial"/>
                <w:sz w:val="21"/>
              </w:rPr>
            </w:pPr>
            <w:r/>
          </w:p>
          <w:p>
            <w:pPr>
              <w:pStyle w:val="TableText"/>
              <w:ind w:left="436"/>
              <w:spacing w:before="85" w:line="178" w:lineRule="auto"/>
              <w:rPr/>
            </w:pPr>
            <w:r>
              <w:rPr>
                <w:spacing w:val="3"/>
              </w:rPr>
              <w:t>600654</w:t>
            </w:r>
          </w:p>
        </w:tc>
        <w:tc>
          <w:tcPr>
            <w:shd w:val="clear" w:fill="F2DCDC"/>
            <w:tcW w:w="1215" w:type="dxa"/>
            <w:vAlign w:val="top"/>
          </w:tcPr>
          <w:p>
            <w:pPr>
              <w:spacing w:line="264" w:lineRule="auto"/>
              <w:rPr>
                <w:rFonts w:ascii="Arial"/>
                <w:sz w:val="21"/>
              </w:rPr>
            </w:pPr>
            <w:r/>
          </w:p>
          <w:p>
            <w:pPr>
              <w:spacing w:line="265" w:lineRule="auto"/>
              <w:rPr>
                <w:rFonts w:ascii="Arial"/>
                <w:sz w:val="21"/>
              </w:rPr>
            </w:pPr>
            <w:r/>
          </w:p>
          <w:p>
            <w:pPr>
              <w:pStyle w:val="TableText"/>
              <w:ind w:left="298"/>
              <w:spacing w:before="86" w:line="190" w:lineRule="auto"/>
              <w:rPr/>
            </w:pPr>
            <w:r>
              <w:rPr>
                <w:spacing w:val="3"/>
              </w:rPr>
              <w:t>中安科</w:t>
            </w:r>
          </w:p>
        </w:tc>
        <w:tc>
          <w:tcPr>
            <w:shd w:val="clear" w:fill="F2DCDC"/>
            <w:tcW w:w="1324" w:type="dxa"/>
            <w:vAlign w:val="top"/>
          </w:tcPr>
          <w:p>
            <w:pPr>
              <w:spacing w:line="265" w:lineRule="auto"/>
              <w:rPr>
                <w:rFonts w:ascii="Arial"/>
                <w:sz w:val="21"/>
              </w:rPr>
            </w:pPr>
            <w:r/>
          </w:p>
          <w:p>
            <w:pPr>
              <w:spacing w:line="266" w:lineRule="auto"/>
              <w:rPr>
                <w:rFonts w:ascii="Arial"/>
                <w:sz w:val="21"/>
              </w:rPr>
            </w:pPr>
            <w:r/>
          </w:p>
          <w:p>
            <w:pPr>
              <w:pStyle w:val="TableText"/>
              <w:ind w:left="236"/>
              <w:spacing w:before="86" w:line="189" w:lineRule="auto"/>
              <w:rPr/>
            </w:pPr>
            <w:r>
              <w:rPr>
                <w:spacing w:val="8"/>
              </w:rPr>
              <w:t>监管警示</w:t>
            </w:r>
          </w:p>
        </w:tc>
        <w:tc>
          <w:tcPr>
            <w:shd w:val="clear" w:fill="F2DCDC"/>
            <w:tcW w:w="4908" w:type="dxa"/>
            <w:vAlign w:val="top"/>
          </w:tcPr>
          <w:p>
            <w:pPr>
              <w:pStyle w:val="TableText"/>
              <w:ind w:left="1" w:right="63" w:firstLine="1"/>
              <w:spacing w:before="78" w:line="237" w:lineRule="auto"/>
              <w:jc w:val="both"/>
              <w:rPr/>
            </w:pPr>
            <w:r>
              <w:rPr>
                <w:spacing w:val="7"/>
              </w:rPr>
              <w:t>公司</w:t>
            </w:r>
            <w:r>
              <w:rPr>
                <w:b/>
                <w:bCs/>
                <w:spacing w:val="7"/>
              </w:rPr>
              <w:t>控股股东被申请破产重整</w:t>
            </w:r>
            <w:r>
              <w:rPr>
                <w:spacing w:val="7"/>
              </w:rPr>
              <w:t>等事项， 可能对公</w:t>
            </w:r>
            <w:r>
              <w:rPr>
                <w:spacing w:val="6"/>
              </w:rPr>
              <w:t>司股</w:t>
            </w:r>
            <w:r>
              <w:rPr/>
              <w:t xml:space="preserve"> </w:t>
            </w:r>
            <w:r>
              <w:rPr>
                <w:spacing w:val="7"/>
              </w:rPr>
              <w:t>价产生重大影响， 应当及时予以披露。控股股东中恒</w:t>
            </w:r>
            <w:r>
              <w:rPr/>
              <w:t xml:space="preserve"> </w:t>
            </w:r>
            <w:r>
              <w:rPr>
                <w:spacing w:val="7"/>
              </w:rPr>
              <w:t>汇志未及时告知公司相关事项， 导致公司未及时予以</w:t>
            </w:r>
            <w:r>
              <w:rPr/>
              <w:t xml:space="preserve"> </w:t>
            </w:r>
            <w:r>
              <w:rPr>
                <w:spacing w:val="5"/>
              </w:rPr>
              <w:t>披露。</w:t>
            </w:r>
          </w:p>
        </w:tc>
      </w:tr>
      <w:tr>
        <w:trPr>
          <w:trHeight w:val="365" w:hRule="atLeast"/>
        </w:trPr>
        <w:tc>
          <w:tcPr>
            <w:tcW w:w="1607" w:type="dxa"/>
            <w:vAlign w:val="top"/>
          </w:tcPr>
          <w:p>
            <w:pPr>
              <w:pStyle w:val="TableText"/>
              <w:ind w:left="436"/>
              <w:spacing w:before="98" w:line="179" w:lineRule="auto"/>
              <w:rPr/>
            </w:pPr>
            <w:r>
              <w:rPr>
                <w:spacing w:val="3"/>
              </w:rPr>
              <w:t>603717</w:t>
            </w:r>
          </w:p>
        </w:tc>
        <w:tc>
          <w:tcPr>
            <w:tcW w:w="1215" w:type="dxa"/>
            <w:vAlign w:val="top"/>
          </w:tcPr>
          <w:p>
            <w:pPr>
              <w:pStyle w:val="TableText"/>
              <w:ind w:left="178"/>
              <w:spacing w:before="86" w:line="188" w:lineRule="auto"/>
              <w:rPr/>
            </w:pPr>
            <w:r>
              <w:rPr>
                <w:spacing w:val="8"/>
              </w:rPr>
              <w:t>天域生态</w:t>
            </w:r>
          </w:p>
        </w:tc>
        <w:tc>
          <w:tcPr>
            <w:tcW w:w="1324" w:type="dxa"/>
            <w:vAlign w:val="top"/>
          </w:tcPr>
          <w:p>
            <w:pPr>
              <w:pStyle w:val="TableText"/>
              <w:ind w:left="236"/>
              <w:spacing w:before="84" w:line="189" w:lineRule="auto"/>
              <w:rPr/>
            </w:pPr>
            <w:r>
              <w:rPr>
                <w:spacing w:val="8"/>
              </w:rPr>
              <w:t>监管警示</w:t>
            </w:r>
          </w:p>
        </w:tc>
        <w:tc>
          <w:tcPr>
            <w:tcW w:w="4908" w:type="dxa"/>
            <w:vAlign w:val="top"/>
          </w:tcPr>
          <w:p>
            <w:pPr>
              <w:pStyle w:val="TableText"/>
              <w:ind w:left="11"/>
              <w:spacing w:before="84" w:line="189" w:lineRule="auto"/>
              <w:rPr/>
            </w:pPr>
            <w:r>
              <w:rPr>
                <w:b/>
                <w:bCs/>
                <w:spacing w:val="6"/>
              </w:rPr>
              <w:t>2022年、</w:t>
            </w:r>
            <w:r>
              <w:rPr>
                <w:b/>
                <w:bCs/>
                <w:spacing w:val="-28"/>
              </w:rPr>
              <w:t xml:space="preserve"> </w:t>
            </w:r>
            <w:r>
              <w:rPr>
                <w:b/>
                <w:bCs/>
                <w:spacing w:val="6"/>
              </w:rPr>
              <w:t>2023年年报</w:t>
            </w:r>
            <w:r>
              <w:rPr>
                <w:spacing w:val="6"/>
              </w:rPr>
              <w:t>信息披露不准确。</w:t>
            </w:r>
          </w:p>
        </w:tc>
      </w:tr>
      <w:tr>
        <w:trPr>
          <w:trHeight w:val="724" w:hRule="atLeast"/>
        </w:trPr>
        <w:tc>
          <w:tcPr>
            <w:shd w:val="clear" w:fill="F2DCDC"/>
            <w:tcW w:w="1607" w:type="dxa"/>
            <w:vAlign w:val="top"/>
          </w:tcPr>
          <w:p>
            <w:pPr>
              <w:pStyle w:val="TableText"/>
              <w:ind w:left="436"/>
              <w:spacing w:before="279" w:line="178" w:lineRule="auto"/>
              <w:rPr/>
            </w:pPr>
            <w:r>
              <w:rPr>
                <w:spacing w:val="3"/>
              </w:rPr>
              <w:t>688083</w:t>
            </w:r>
          </w:p>
        </w:tc>
        <w:tc>
          <w:tcPr>
            <w:shd w:val="clear" w:fill="F2DCDC"/>
            <w:tcW w:w="1215" w:type="dxa"/>
            <w:vAlign w:val="top"/>
          </w:tcPr>
          <w:p>
            <w:pPr>
              <w:pStyle w:val="TableText"/>
              <w:ind w:left="192"/>
              <w:spacing w:before="264" w:line="189" w:lineRule="auto"/>
              <w:rPr/>
            </w:pPr>
            <w:r>
              <w:rPr>
                <w:spacing w:val="5"/>
              </w:rPr>
              <w:t>中望软件</w:t>
            </w:r>
          </w:p>
        </w:tc>
        <w:tc>
          <w:tcPr>
            <w:shd w:val="clear" w:fill="F2DCDC"/>
            <w:tcW w:w="1324" w:type="dxa"/>
            <w:vAlign w:val="top"/>
          </w:tcPr>
          <w:p>
            <w:pPr>
              <w:pStyle w:val="TableText"/>
              <w:ind w:left="236"/>
              <w:spacing w:before="264" w:line="189" w:lineRule="auto"/>
              <w:rPr/>
            </w:pPr>
            <w:r>
              <w:rPr>
                <w:spacing w:val="8"/>
              </w:rPr>
              <w:t>监管警示</w:t>
            </w:r>
          </w:p>
        </w:tc>
        <w:tc>
          <w:tcPr>
            <w:shd w:val="clear" w:fill="F2DCDC"/>
            <w:tcW w:w="4908" w:type="dxa"/>
            <w:vAlign w:val="top"/>
          </w:tcPr>
          <w:p>
            <w:pPr>
              <w:pStyle w:val="TableText"/>
              <w:ind w:left="2" w:right="63"/>
              <w:spacing w:before="82" w:line="221" w:lineRule="auto"/>
              <w:rPr/>
            </w:pPr>
            <w:r>
              <w:rPr>
                <w:spacing w:val="7"/>
              </w:rPr>
              <w:t>公司选举独立董事， 未在规定时间内履行</w:t>
            </w:r>
            <w:r>
              <w:rPr>
                <w:b/>
                <w:bCs/>
                <w:spacing w:val="7"/>
              </w:rPr>
              <w:t>报送材</w:t>
            </w:r>
            <w:r>
              <w:rPr>
                <w:b/>
                <w:bCs/>
                <w:spacing w:val="6"/>
              </w:rPr>
              <w:t>料的</w:t>
            </w:r>
            <w:r>
              <w:rPr>
                <w:b/>
                <w:bCs/>
              </w:rPr>
              <w:t xml:space="preserve"> </w:t>
            </w:r>
            <w:r>
              <w:rPr>
                <w:b/>
                <w:bCs/>
                <w:spacing w:val="7"/>
              </w:rPr>
              <w:t>相关程序。</w:t>
            </w:r>
          </w:p>
        </w:tc>
      </w:tr>
      <w:tr>
        <w:trPr>
          <w:trHeight w:val="725" w:hRule="atLeast"/>
        </w:trPr>
        <w:tc>
          <w:tcPr>
            <w:tcW w:w="1607" w:type="dxa"/>
            <w:vAlign w:val="top"/>
          </w:tcPr>
          <w:p>
            <w:pPr>
              <w:pStyle w:val="TableText"/>
              <w:ind w:left="436"/>
              <w:spacing w:before="279" w:line="178" w:lineRule="auto"/>
              <w:rPr/>
            </w:pPr>
            <w:r>
              <w:rPr>
                <w:spacing w:val="3"/>
              </w:rPr>
              <w:t>603388</w:t>
            </w:r>
          </w:p>
        </w:tc>
        <w:tc>
          <w:tcPr>
            <w:tcW w:w="1215" w:type="dxa"/>
            <w:vAlign w:val="top"/>
          </w:tcPr>
          <w:p>
            <w:pPr>
              <w:pStyle w:val="TableText"/>
              <w:ind w:left="277"/>
              <w:spacing w:before="266" w:line="188" w:lineRule="auto"/>
              <w:rPr/>
            </w:pPr>
            <w:r>
              <w:rPr/>
              <w:t>ST</w:t>
            </w:r>
            <w:r>
              <w:rPr>
                <w:spacing w:val="8"/>
              </w:rPr>
              <w:t>元成</w:t>
            </w:r>
          </w:p>
        </w:tc>
        <w:tc>
          <w:tcPr>
            <w:tcW w:w="1324" w:type="dxa"/>
            <w:vAlign w:val="top"/>
          </w:tcPr>
          <w:p>
            <w:pPr>
              <w:pStyle w:val="TableText"/>
              <w:ind w:left="236"/>
              <w:spacing w:before="264" w:line="189" w:lineRule="auto"/>
              <w:rPr/>
            </w:pPr>
            <w:r>
              <w:rPr>
                <w:spacing w:val="8"/>
              </w:rPr>
              <w:t>监管警示</w:t>
            </w:r>
          </w:p>
        </w:tc>
        <w:tc>
          <w:tcPr>
            <w:tcW w:w="4908" w:type="dxa"/>
            <w:vAlign w:val="top"/>
          </w:tcPr>
          <w:p>
            <w:pPr>
              <w:pStyle w:val="TableText"/>
              <w:ind w:left="1" w:right="63" w:firstLine="1"/>
              <w:spacing w:before="85" w:line="220" w:lineRule="auto"/>
              <w:rPr/>
            </w:pPr>
            <w:r>
              <w:rPr>
                <w:spacing w:val="7"/>
              </w:rPr>
              <w:t>公司年度报告及相关公告中出现</w:t>
            </w:r>
            <w:r>
              <w:rPr>
                <w:b/>
                <w:bCs/>
                <w:spacing w:val="7"/>
              </w:rPr>
              <w:t>多处错误</w:t>
            </w:r>
            <w:r>
              <w:rPr>
                <w:spacing w:val="7"/>
              </w:rPr>
              <w:t>， 信息</w:t>
            </w:r>
            <w:r>
              <w:rPr>
                <w:spacing w:val="6"/>
              </w:rPr>
              <w:t>披露</w:t>
            </w:r>
            <w:r>
              <w:rPr/>
              <w:t xml:space="preserve"> </w:t>
            </w:r>
            <w:r>
              <w:rPr>
                <w:spacing w:val="6"/>
              </w:rPr>
              <w:t>不准确。</w:t>
            </w:r>
          </w:p>
        </w:tc>
      </w:tr>
      <w:tr>
        <w:trPr>
          <w:trHeight w:val="1083" w:hRule="atLeast"/>
        </w:trPr>
        <w:tc>
          <w:tcPr>
            <w:shd w:val="clear" w:fill="F2DCDC"/>
            <w:tcW w:w="1607" w:type="dxa"/>
            <w:vAlign w:val="top"/>
          </w:tcPr>
          <w:p>
            <w:pPr>
              <w:spacing w:line="373" w:lineRule="auto"/>
              <w:rPr>
                <w:rFonts w:ascii="Arial"/>
                <w:sz w:val="21"/>
              </w:rPr>
            </w:pPr>
            <w:r/>
          </w:p>
          <w:p>
            <w:pPr>
              <w:pStyle w:val="TableText"/>
              <w:ind w:left="436"/>
              <w:spacing w:before="85" w:line="178" w:lineRule="auto"/>
              <w:rPr/>
            </w:pPr>
            <w:r>
              <w:rPr>
                <w:spacing w:val="3"/>
              </w:rPr>
              <w:t>688486</w:t>
            </w:r>
          </w:p>
        </w:tc>
        <w:tc>
          <w:tcPr>
            <w:shd w:val="clear" w:fill="F2DCDC"/>
            <w:tcW w:w="1215" w:type="dxa"/>
            <w:vAlign w:val="top"/>
          </w:tcPr>
          <w:p>
            <w:pPr>
              <w:spacing w:line="359" w:lineRule="auto"/>
              <w:rPr>
                <w:rFonts w:ascii="Arial"/>
                <w:sz w:val="21"/>
              </w:rPr>
            </w:pPr>
            <w:r/>
          </w:p>
          <w:p>
            <w:pPr>
              <w:pStyle w:val="TableText"/>
              <w:ind w:left="176"/>
              <w:spacing w:before="86" w:line="188" w:lineRule="auto"/>
              <w:rPr/>
            </w:pPr>
            <w:r>
              <w:rPr>
                <w:spacing w:val="9"/>
              </w:rPr>
              <w:t>龙迅股份</w:t>
            </w:r>
          </w:p>
        </w:tc>
        <w:tc>
          <w:tcPr>
            <w:shd w:val="clear" w:fill="F2DCDC"/>
            <w:tcW w:w="1324" w:type="dxa"/>
            <w:vAlign w:val="top"/>
          </w:tcPr>
          <w:p>
            <w:pPr>
              <w:spacing w:line="358" w:lineRule="auto"/>
              <w:rPr>
                <w:rFonts w:ascii="Arial"/>
                <w:sz w:val="21"/>
              </w:rPr>
            </w:pPr>
            <w:r/>
          </w:p>
          <w:p>
            <w:pPr>
              <w:pStyle w:val="TableText"/>
              <w:ind w:left="236"/>
              <w:spacing w:before="86" w:line="189" w:lineRule="auto"/>
              <w:rPr/>
            </w:pPr>
            <w:r>
              <w:rPr>
                <w:spacing w:val="8"/>
              </w:rPr>
              <w:t>监管警示</w:t>
            </w:r>
          </w:p>
        </w:tc>
        <w:tc>
          <w:tcPr>
            <w:shd w:val="clear" w:fill="F2DCDC"/>
            <w:tcW w:w="4908" w:type="dxa"/>
            <w:vAlign w:val="top"/>
          </w:tcPr>
          <w:p>
            <w:pPr>
              <w:pStyle w:val="TableText"/>
              <w:ind w:left="2"/>
              <w:spacing w:before="85" w:line="190" w:lineRule="auto"/>
              <w:rPr/>
            </w:pPr>
            <w:r>
              <w:rPr>
                <w:spacing w:val="9"/>
              </w:rPr>
              <w:t>公司股东合肥中安、滁州中安合计持股比例由</w:t>
            </w:r>
          </w:p>
          <w:p>
            <w:pPr>
              <w:pStyle w:val="TableText"/>
              <w:ind w:left="5" w:right="37" w:firstLine="12"/>
              <w:spacing w:before="49" w:line="233" w:lineRule="auto"/>
              <w:rPr/>
            </w:pPr>
            <w:r>
              <w:rPr>
                <w:spacing w:val="5"/>
              </w:rPr>
              <w:t>5.0880%下降至4.9994%， 但未及时披露</w:t>
            </w:r>
            <w:r>
              <w:rPr>
                <w:b/>
                <w:bCs/>
                <w:spacing w:val="5"/>
              </w:rPr>
              <w:t>权益变动报</w:t>
            </w:r>
            <w:r>
              <w:rPr>
                <w:b/>
                <w:bCs/>
                <w:spacing w:val="2"/>
              </w:rPr>
              <w:t xml:space="preserve"> </w:t>
            </w:r>
            <w:r>
              <w:rPr>
                <w:b/>
                <w:bCs/>
                <w:spacing w:val="4"/>
              </w:rPr>
              <w:t>告书</w:t>
            </w:r>
            <w:r>
              <w:rPr>
                <w:spacing w:val="4"/>
              </w:rPr>
              <w:t>。</w:t>
            </w:r>
          </w:p>
        </w:tc>
      </w:tr>
      <w:tr>
        <w:trPr>
          <w:trHeight w:val="365" w:hRule="atLeast"/>
        </w:trPr>
        <w:tc>
          <w:tcPr>
            <w:tcW w:w="1607" w:type="dxa"/>
            <w:vAlign w:val="top"/>
          </w:tcPr>
          <w:p>
            <w:pPr>
              <w:pStyle w:val="TableText"/>
              <w:ind w:left="436"/>
              <w:spacing w:before="104" w:line="175" w:lineRule="auto"/>
              <w:rPr/>
            </w:pPr>
            <w:r>
              <w:rPr>
                <w:spacing w:val="3"/>
              </w:rPr>
              <w:t>600289</w:t>
            </w:r>
          </w:p>
        </w:tc>
        <w:tc>
          <w:tcPr>
            <w:tcW w:w="1215" w:type="dxa"/>
            <w:vAlign w:val="top"/>
          </w:tcPr>
          <w:p>
            <w:pPr>
              <w:pStyle w:val="TableText"/>
              <w:ind w:left="226"/>
              <w:spacing w:before="90" w:line="185" w:lineRule="auto"/>
              <w:rPr/>
            </w:pPr>
            <w:r>
              <w:rPr>
                <w:spacing w:val="8"/>
              </w:rPr>
              <w:t>*</w:t>
            </w:r>
            <w:r>
              <w:rPr/>
              <w:t>ST</w:t>
            </w:r>
            <w:r>
              <w:rPr>
                <w:spacing w:val="8"/>
              </w:rPr>
              <w:t>信通</w:t>
            </w:r>
          </w:p>
        </w:tc>
        <w:tc>
          <w:tcPr>
            <w:tcW w:w="1324" w:type="dxa"/>
            <w:vAlign w:val="top"/>
          </w:tcPr>
          <w:p>
            <w:pPr>
              <w:pStyle w:val="TableText"/>
              <w:ind w:left="236"/>
              <w:spacing w:before="89" w:line="186" w:lineRule="auto"/>
              <w:rPr/>
            </w:pPr>
            <w:r>
              <w:rPr>
                <w:spacing w:val="8"/>
              </w:rPr>
              <w:t>监管警示</w:t>
            </w:r>
          </w:p>
        </w:tc>
        <w:tc>
          <w:tcPr>
            <w:tcW w:w="4908" w:type="dxa"/>
            <w:vAlign w:val="top"/>
          </w:tcPr>
          <w:p>
            <w:pPr>
              <w:pStyle w:val="TableText"/>
              <w:ind w:left="2"/>
              <w:spacing w:before="89" w:line="186" w:lineRule="auto"/>
              <w:rPr/>
            </w:pPr>
            <w:r>
              <w:rPr>
                <w:spacing w:val="9"/>
              </w:rPr>
              <w:t>公司未及时披露</w:t>
            </w:r>
            <w:r>
              <w:rPr>
                <w:b/>
                <w:bCs/>
                <w:spacing w:val="9"/>
              </w:rPr>
              <w:t>对外投资交易相关进展</w:t>
            </w:r>
            <w:r>
              <w:rPr>
                <w:spacing w:val="9"/>
              </w:rPr>
              <w:t>情况。</w:t>
            </w:r>
          </w:p>
        </w:tc>
      </w:tr>
      <w:tr>
        <w:trPr>
          <w:trHeight w:val="724" w:hRule="atLeast"/>
        </w:trPr>
        <w:tc>
          <w:tcPr>
            <w:shd w:val="clear" w:fill="F2DCDC"/>
            <w:tcW w:w="1607" w:type="dxa"/>
            <w:vAlign w:val="top"/>
          </w:tcPr>
          <w:p>
            <w:pPr>
              <w:pStyle w:val="TableText"/>
              <w:ind w:left="436"/>
              <w:spacing w:before="283" w:line="178" w:lineRule="auto"/>
              <w:rPr/>
            </w:pPr>
            <w:r>
              <w:rPr>
                <w:spacing w:val="3"/>
              </w:rPr>
              <w:t>603869</w:t>
            </w:r>
          </w:p>
        </w:tc>
        <w:tc>
          <w:tcPr>
            <w:shd w:val="clear" w:fill="F2DCDC"/>
            <w:tcW w:w="1215" w:type="dxa"/>
            <w:vAlign w:val="top"/>
          </w:tcPr>
          <w:p>
            <w:pPr>
              <w:pStyle w:val="TableText"/>
              <w:ind w:left="277"/>
              <w:spacing w:before="269" w:line="189" w:lineRule="auto"/>
              <w:rPr/>
            </w:pPr>
            <w:r>
              <w:rPr/>
              <w:t>ST</w:t>
            </w:r>
            <w:r>
              <w:rPr>
                <w:spacing w:val="8"/>
              </w:rPr>
              <w:t>智知</w:t>
            </w:r>
          </w:p>
        </w:tc>
        <w:tc>
          <w:tcPr>
            <w:shd w:val="clear" w:fill="F2DCDC"/>
            <w:tcW w:w="1324" w:type="dxa"/>
            <w:vAlign w:val="top"/>
          </w:tcPr>
          <w:p>
            <w:pPr>
              <w:pStyle w:val="TableText"/>
              <w:ind w:left="234"/>
              <w:spacing w:before="270" w:line="188" w:lineRule="auto"/>
              <w:rPr/>
            </w:pPr>
            <w:r>
              <w:rPr>
                <w:spacing w:val="8"/>
              </w:rPr>
              <w:t>通报批评</w:t>
            </w:r>
          </w:p>
        </w:tc>
        <w:tc>
          <w:tcPr>
            <w:shd w:val="clear" w:fill="F2DCDC"/>
            <w:tcW w:w="4908" w:type="dxa"/>
            <w:vAlign w:val="top"/>
          </w:tcPr>
          <w:p>
            <w:pPr>
              <w:pStyle w:val="TableText"/>
              <w:ind w:left="3" w:right="108" w:hanging="1"/>
              <w:spacing w:before="87" w:line="219" w:lineRule="auto"/>
              <w:rPr/>
            </w:pPr>
            <w:r>
              <w:rPr>
                <w:spacing w:val="6"/>
              </w:rPr>
              <w:t>公司2023年度净利润为负值， 但未按规定及时披露</w:t>
            </w:r>
            <w:r>
              <w:rPr>
                <w:spacing w:val="3"/>
              </w:rPr>
              <w:t xml:space="preserve">  </w:t>
            </w:r>
            <w:r>
              <w:rPr>
                <w:b/>
                <w:bCs/>
                <w:spacing w:val="5"/>
              </w:rPr>
              <w:t>业绩预亏公告</w:t>
            </w:r>
            <w:r>
              <w:rPr>
                <w:spacing w:val="5"/>
              </w:rPr>
              <w:t>， 未向市场及时揭示公司亏损的风险。</w:t>
            </w:r>
          </w:p>
        </w:tc>
      </w:tr>
      <w:tr>
        <w:trPr>
          <w:trHeight w:val="1084" w:hRule="atLeast"/>
        </w:trPr>
        <w:tc>
          <w:tcPr>
            <w:tcW w:w="1607" w:type="dxa"/>
            <w:vAlign w:val="top"/>
          </w:tcPr>
          <w:p>
            <w:pPr>
              <w:spacing w:line="376" w:lineRule="auto"/>
              <w:rPr>
                <w:rFonts w:ascii="Arial"/>
                <w:sz w:val="21"/>
              </w:rPr>
            </w:pPr>
            <w:r/>
          </w:p>
          <w:p>
            <w:pPr>
              <w:pStyle w:val="TableText"/>
              <w:ind w:left="436"/>
              <w:spacing w:before="85" w:line="178" w:lineRule="auto"/>
              <w:rPr/>
            </w:pPr>
            <w:r>
              <w:rPr>
                <w:spacing w:val="3"/>
              </w:rPr>
              <w:t>603828</w:t>
            </w:r>
          </w:p>
        </w:tc>
        <w:tc>
          <w:tcPr>
            <w:tcW w:w="1215" w:type="dxa"/>
            <w:vAlign w:val="top"/>
          </w:tcPr>
          <w:p>
            <w:pPr>
              <w:spacing w:line="364" w:lineRule="auto"/>
              <w:rPr>
                <w:rFonts w:ascii="Arial"/>
                <w:sz w:val="21"/>
              </w:rPr>
            </w:pPr>
            <w:r/>
          </w:p>
          <w:p>
            <w:pPr>
              <w:pStyle w:val="TableText"/>
              <w:ind w:left="171"/>
              <w:spacing w:before="85" w:line="187" w:lineRule="auto"/>
              <w:rPr/>
            </w:pPr>
            <w:r>
              <w:rPr/>
              <w:t>ST</w:t>
            </w:r>
            <w:r>
              <w:rPr>
                <w:spacing w:val="9"/>
              </w:rPr>
              <w:t>柯利达</w:t>
            </w:r>
          </w:p>
        </w:tc>
        <w:tc>
          <w:tcPr>
            <w:tcW w:w="1324" w:type="dxa"/>
            <w:vAlign w:val="top"/>
          </w:tcPr>
          <w:p>
            <w:pPr>
              <w:spacing w:line="362" w:lineRule="auto"/>
              <w:rPr>
                <w:rFonts w:ascii="Arial"/>
                <w:sz w:val="21"/>
              </w:rPr>
            </w:pPr>
            <w:r/>
          </w:p>
          <w:p>
            <w:pPr>
              <w:pStyle w:val="TableText"/>
              <w:ind w:left="234"/>
              <w:spacing w:before="86" w:line="188" w:lineRule="auto"/>
              <w:rPr/>
            </w:pPr>
            <w:r>
              <w:rPr>
                <w:spacing w:val="8"/>
              </w:rPr>
              <w:t>通报批评</w:t>
            </w:r>
          </w:p>
        </w:tc>
        <w:tc>
          <w:tcPr>
            <w:tcW w:w="4908" w:type="dxa"/>
            <w:vAlign w:val="top"/>
          </w:tcPr>
          <w:p>
            <w:pPr>
              <w:pStyle w:val="TableText"/>
              <w:ind w:left="2" w:right="42"/>
              <w:spacing w:before="87" w:line="230" w:lineRule="auto"/>
              <w:rPr/>
            </w:pPr>
            <w:r>
              <w:rPr>
                <w:spacing w:val="9"/>
              </w:rPr>
              <w:t>公司2023年年度实际净利润及扣非后净利润与预告</w:t>
            </w:r>
            <w:r>
              <w:rPr/>
              <w:t xml:space="preserve">    </w:t>
            </w:r>
            <w:r>
              <w:rPr>
                <w:spacing w:val="6"/>
              </w:rPr>
              <w:t>相比发生盈亏方向的变化， 且公司迟至2024年4月29</w:t>
            </w:r>
            <w:r>
              <w:rPr>
                <w:spacing w:val="4"/>
              </w:rPr>
              <w:t xml:space="preserve"> </w:t>
            </w:r>
            <w:r>
              <w:rPr>
                <w:spacing w:val="6"/>
              </w:rPr>
              <w:t>日才披露</w:t>
            </w:r>
            <w:r>
              <w:rPr>
                <w:b/>
                <w:bCs/>
                <w:spacing w:val="6"/>
              </w:rPr>
              <w:t>业绩预告更正</w:t>
            </w:r>
            <w:r>
              <w:rPr>
                <w:spacing w:val="6"/>
              </w:rPr>
              <w:t>公告， 更正公告披露不及时。</w:t>
            </w:r>
          </w:p>
        </w:tc>
      </w:tr>
      <w:tr>
        <w:trPr>
          <w:trHeight w:val="724" w:hRule="atLeast"/>
        </w:trPr>
        <w:tc>
          <w:tcPr>
            <w:shd w:val="clear" w:fill="F2DCDC"/>
            <w:tcW w:w="1607" w:type="dxa"/>
            <w:vAlign w:val="top"/>
          </w:tcPr>
          <w:p>
            <w:pPr>
              <w:pStyle w:val="TableText"/>
              <w:ind w:left="436"/>
              <w:spacing w:before="286" w:line="178" w:lineRule="auto"/>
              <w:rPr/>
            </w:pPr>
            <w:r>
              <w:rPr>
                <w:spacing w:val="3"/>
              </w:rPr>
              <w:t>603388</w:t>
            </w:r>
          </w:p>
        </w:tc>
        <w:tc>
          <w:tcPr>
            <w:shd w:val="clear" w:fill="F2DCDC"/>
            <w:tcW w:w="1215" w:type="dxa"/>
            <w:vAlign w:val="top"/>
          </w:tcPr>
          <w:p>
            <w:pPr>
              <w:pStyle w:val="TableText"/>
              <w:ind w:left="277"/>
              <w:spacing w:before="273" w:line="188" w:lineRule="auto"/>
              <w:rPr/>
            </w:pPr>
            <w:r>
              <w:rPr/>
              <w:t>ST</w:t>
            </w:r>
            <w:r>
              <w:rPr>
                <w:spacing w:val="8"/>
              </w:rPr>
              <w:t>元成</w:t>
            </w:r>
          </w:p>
        </w:tc>
        <w:tc>
          <w:tcPr>
            <w:shd w:val="clear" w:fill="F2DCDC"/>
            <w:tcW w:w="1324" w:type="dxa"/>
            <w:vAlign w:val="top"/>
          </w:tcPr>
          <w:p>
            <w:pPr>
              <w:pStyle w:val="TableText"/>
              <w:ind w:left="234"/>
              <w:spacing w:before="274" w:line="187" w:lineRule="auto"/>
              <w:rPr/>
            </w:pPr>
            <w:r>
              <w:rPr>
                <w:spacing w:val="8"/>
              </w:rPr>
              <w:t>公开谴责</w:t>
            </w:r>
          </w:p>
        </w:tc>
        <w:tc>
          <w:tcPr>
            <w:shd w:val="clear" w:fill="F2DCDC"/>
            <w:tcW w:w="4908" w:type="dxa"/>
            <w:vAlign w:val="top"/>
          </w:tcPr>
          <w:p>
            <w:pPr>
              <w:pStyle w:val="TableText"/>
              <w:ind w:left="4" w:right="63"/>
              <w:spacing w:before="90" w:line="218" w:lineRule="auto"/>
              <w:rPr/>
            </w:pPr>
            <w:r>
              <w:rPr>
                <w:b/>
                <w:bCs/>
                <w:spacing w:val="7"/>
              </w:rPr>
              <w:t>多期定期报告</w:t>
            </w:r>
            <w:r>
              <w:rPr>
                <w:spacing w:val="7"/>
              </w:rPr>
              <w:t>财务数据披露不准确， 实际控</w:t>
            </w:r>
            <w:r>
              <w:rPr>
                <w:spacing w:val="6"/>
              </w:rPr>
              <w:t>制人</w:t>
            </w:r>
            <w:r>
              <w:rPr>
                <w:b/>
                <w:bCs/>
                <w:spacing w:val="6"/>
              </w:rPr>
              <w:t>非经</w:t>
            </w:r>
            <w:r>
              <w:rPr>
                <w:b/>
                <w:bCs/>
              </w:rPr>
              <w:t xml:space="preserve"> </w:t>
            </w:r>
            <w:r>
              <w:rPr>
                <w:b/>
                <w:bCs/>
                <w:spacing w:val="8"/>
              </w:rPr>
              <w:t>营性占用</w:t>
            </w:r>
            <w:r>
              <w:rPr>
                <w:spacing w:val="8"/>
              </w:rPr>
              <w:t>公司资金且未及时披露。</w:t>
            </w:r>
          </w:p>
        </w:tc>
      </w:tr>
      <w:tr>
        <w:trPr>
          <w:trHeight w:val="1084" w:hRule="atLeast"/>
        </w:trPr>
        <w:tc>
          <w:tcPr>
            <w:tcW w:w="1607" w:type="dxa"/>
            <w:vAlign w:val="top"/>
          </w:tcPr>
          <w:p>
            <w:pPr>
              <w:spacing w:line="381" w:lineRule="auto"/>
              <w:rPr>
                <w:rFonts w:ascii="Arial"/>
                <w:sz w:val="21"/>
              </w:rPr>
            </w:pPr>
            <w:r/>
          </w:p>
          <w:p>
            <w:pPr>
              <w:pStyle w:val="TableText"/>
              <w:ind w:left="436"/>
              <w:spacing w:before="86" w:line="178" w:lineRule="auto"/>
              <w:rPr/>
            </w:pPr>
            <w:r>
              <w:rPr>
                <w:spacing w:val="3"/>
              </w:rPr>
              <w:t>600083</w:t>
            </w:r>
          </w:p>
        </w:tc>
        <w:tc>
          <w:tcPr>
            <w:tcW w:w="1215" w:type="dxa"/>
            <w:vAlign w:val="top"/>
          </w:tcPr>
          <w:p>
            <w:pPr>
              <w:spacing w:line="366" w:lineRule="auto"/>
              <w:rPr>
                <w:rFonts w:ascii="Arial"/>
                <w:sz w:val="21"/>
              </w:rPr>
            </w:pPr>
            <w:r/>
          </w:p>
          <w:p>
            <w:pPr>
              <w:pStyle w:val="TableText"/>
              <w:ind w:left="226"/>
              <w:spacing w:before="86" w:line="189" w:lineRule="auto"/>
              <w:rPr/>
            </w:pPr>
            <w:r>
              <w:rPr>
                <w:spacing w:val="8"/>
              </w:rPr>
              <w:t>*</w:t>
            </w:r>
            <w:r>
              <w:rPr/>
              <w:t>ST</w:t>
            </w:r>
            <w:r>
              <w:rPr>
                <w:spacing w:val="8"/>
              </w:rPr>
              <w:t>博信</w:t>
            </w:r>
          </w:p>
        </w:tc>
        <w:tc>
          <w:tcPr>
            <w:tcW w:w="1324" w:type="dxa"/>
            <w:vAlign w:val="top"/>
          </w:tcPr>
          <w:p>
            <w:pPr>
              <w:spacing w:line="369" w:lineRule="auto"/>
              <w:rPr>
                <w:rFonts w:ascii="Arial"/>
                <w:sz w:val="21"/>
              </w:rPr>
            </w:pPr>
            <w:r/>
          </w:p>
          <w:p>
            <w:pPr>
              <w:pStyle w:val="TableText"/>
              <w:ind w:left="234"/>
              <w:spacing w:before="86" w:line="187" w:lineRule="auto"/>
              <w:rPr/>
            </w:pPr>
            <w:r>
              <w:rPr>
                <w:spacing w:val="8"/>
              </w:rPr>
              <w:t>公开谴责</w:t>
            </w:r>
          </w:p>
        </w:tc>
        <w:tc>
          <w:tcPr>
            <w:tcW w:w="4908" w:type="dxa"/>
            <w:vAlign w:val="top"/>
          </w:tcPr>
          <w:p>
            <w:pPr>
              <w:pStyle w:val="TableText"/>
              <w:ind w:left="2" w:right="63"/>
              <w:spacing w:before="91" w:line="229" w:lineRule="auto"/>
              <w:jc w:val="both"/>
              <w:rPr/>
            </w:pPr>
            <w:r>
              <w:rPr>
                <w:spacing w:val="7"/>
              </w:rPr>
              <w:t>公司重大资产重组交易对方作为</w:t>
            </w:r>
            <w:r>
              <w:rPr>
                <w:b/>
                <w:bCs/>
                <w:spacing w:val="7"/>
              </w:rPr>
              <w:t>业绩承诺方</w:t>
            </w:r>
            <w:r>
              <w:rPr>
                <w:spacing w:val="7"/>
              </w:rPr>
              <w:t>， 在</w:t>
            </w:r>
            <w:r>
              <w:rPr>
                <w:spacing w:val="6"/>
              </w:rPr>
              <w:t>标的</w:t>
            </w:r>
            <w:r>
              <w:rPr/>
              <w:t xml:space="preserve"> </w:t>
            </w:r>
            <w:r>
              <w:rPr>
                <w:spacing w:val="7"/>
              </w:rPr>
              <w:t>资产未完成业绩承诺的情况下， </w:t>
            </w:r>
            <w:r>
              <w:rPr>
                <w:b/>
                <w:bCs/>
                <w:spacing w:val="7"/>
              </w:rPr>
              <w:t>未按约定履行</w:t>
            </w:r>
            <w:r>
              <w:rPr>
                <w:b/>
                <w:bCs/>
                <w:spacing w:val="6"/>
              </w:rPr>
              <w:t>业绩补</w:t>
            </w:r>
            <w:r>
              <w:rPr>
                <w:b/>
                <w:bCs/>
              </w:rPr>
              <w:t xml:space="preserve"> </w:t>
            </w:r>
            <w:r>
              <w:rPr>
                <w:b/>
                <w:bCs/>
                <w:spacing w:val="6"/>
              </w:rPr>
              <w:t>偿承诺。</w:t>
            </w:r>
          </w:p>
        </w:tc>
      </w:tr>
      <w:tr>
        <w:trPr>
          <w:trHeight w:val="734" w:hRule="atLeast"/>
        </w:trPr>
        <w:tc>
          <w:tcPr>
            <w:shd w:val="clear" w:fill="F2DCDC"/>
            <w:tcW w:w="1607" w:type="dxa"/>
            <w:vAlign w:val="top"/>
          </w:tcPr>
          <w:p>
            <w:pPr>
              <w:pStyle w:val="TableText"/>
              <w:ind w:left="436"/>
              <w:spacing w:before="289" w:line="178" w:lineRule="auto"/>
              <w:rPr/>
            </w:pPr>
            <w:r>
              <w:rPr>
                <w:spacing w:val="3"/>
              </w:rPr>
              <w:t>603779</w:t>
            </w:r>
          </w:p>
        </w:tc>
        <w:tc>
          <w:tcPr>
            <w:shd w:val="clear" w:fill="F2DCDC"/>
            <w:tcW w:w="1215" w:type="dxa"/>
            <w:vAlign w:val="top"/>
          </w:tcPr>
          <w:p>
            <w:pPr>
              <w:pStyle w:val="TableText"/>
              <w:ind w:left="178"/>
              <w:spacing w:before="276" w:line="188" w:lineRule="auto"/>
              <w:rPr/>
            </w:pPr>
            <w:r>
              <w:rPr>
                <w:spacing w:val="8"/>
              </w:rPr>
              <w:t>威龙股份</w:t>
            </w:r>
          </w:p>
        </w:tc>
        <w:tc>
          <w:tcPr>
            <w:shd w:val="clear" w:fill="F2DCDC"/>
            <w:tcW w:w="1324" w:type="dxa"/>
            <w:vAlign w:val="top"/>
          </w:tcPr>
          <w:p>
            <w:pPr>
              <w:pStyle w:val="TableText"/>
              <w:ind w:left="236"/>
              <w:spacing w:before="274" w:line="189" w:lineRule="auto"/>
              <w:rPr/>
            </w:pPr>
            <w:r>
              <w:rPr>
                <w:spacing w:val="8"/>
              </w:rPr>
              <w:t>监管警示</w:t>
            </w:r>
          </w:p>
        </w:tc>
        <w:tc>
          <w:tcPr>
            <w:shd w:val="clear" w:fill="F2DCDC"/>
            <w:tcW w:w="4908" w:type="dxa"/>
            <w:vAlign w:val="top"/>
          </w:tcPr>
          <w:p>
            <w:pPr>
              <w:pStyle w:val="TableText"/>
              <w:ind w:left="1" w:right="63" w:firstLine="1"/>
              <w:spacing w:before="94" w:line="220" w:lineRule="auto"/>
              <w:rPr/>
            </w:pPr>
            <w:r>
              <w:rPr>
                <w:spacing w:val="9"/>
              </w:rPr>
              <w:t>公司未按规定及时披露</w:t>
            </w:r>
            <w:r>
              <w:rPr>
                <w:b/>
                <w:bCs/>
                <w:spacing w:val="9"/>
              </w:rPr>
              <w:t>重大诉讼进展情况和重大诉讼</w:t>
            </w:r>
            <w:r>
              <w:rPr>
                <w:b/>
                <w:bCs/>
                <w:spacing w:val="18"/>
              </w:rPr>
              <w:t xml:space="preserve"> </w:t>
            </w:r>
            <w:r>
              <w:rPr>
                <w:b/>
                <w:bCs/>
                <w:spacing w:val="5"/>
              </w:rPr>
              <w:t>情况。</w:t>
            </w:r>
          </w:p>
        </w:tc>
      </w:tr>
    </w:tbl>
    <w:p>
      <w:pPr>
        <w:pStyle w:val="BodyText"/>
        <w:spacing w:line="249" w:lineRule="auto"/>
        <w:rPr/>
      </w:pPr>
      <w:r/>
    </w:p>
    <w:p>
      <w:pPr>
        <w:ind w:left="315"/>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p>
      <w:pPr>
        <w:ind w:left="491"/>
        <w:spacing w:before="148"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2024年7月29日-8月4日， 上交所官网查询到1份监管问询函。</w:t>
      </w:r>
    </w:p>
    <w:p>
      <w:pPr>
        <w:spacing w:line="233" w:lineRule="exact"/>
        <w:rPr/>
      </w:pPr>
      <w:r/>
    </w:p>
    <w:tbl>
      <w:tblPr>
        <w:tblStyle w:val="TableNormal"/>
        <w:tblW w:w="9054" w:type="dxa"/>
        <w:tblInd w:w="879"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620"/>
        <w:gridCol w:w="1215"/>
        <w:gridCol w:w="6219"/>
      </w:tblGrid>
      <w:tr>
        <w:trPr>
          <w:trHeight w:val="372" w:hRule="atLeast"/>
        </w:trPr>
        <w:tc>
          <w:tcPr>
            <w:shd w:val="clear" w:fill="C0504D"/>
            <w:tcW w:w="1620" w:type="dxa"/>
            <w:vAlign w:val="top"/>
            <w:tcBorders>
              <w:bottom w:val="single" w:color="FFFFFF" w:sz="10" w:space="0"/>
            </w:tcBorders>
          </w:tcPr>
          <w:p>
            <w:pPr>
              <w:pStyle w:val="TableText"/>
              <w:ind w:left="383"/>
              <w:spacing w:before="90"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0" w:line="189" w:lineRule="auto"/>
              <w:rPr/>
            </w:pPr>
            <w:r>
              <w:rPr>
                <w:b/>
                <w:bCs/>
                <w:color w:val="FFFFFF"/>
                <w:spacing w:val="8"/>
              </w:rPr>
              <w:t>公司简称</w:t>
            </w:r>
          </w:p>
        </w:tc>
        <w:tc>
          <w:tcPr>
            <w:shd w:val="clear" w:fill="C0504D"/>
            <w:tcW w:w="6219" w:type="dxa"/>
            <w:vAlign w:val="top"/>
            <w:tcBorders>
              <w:bottom w:val="single" w:color="FFFFFF" w:sz="10" w:space="0"/>
            </w:tcBorders>
          </w:tcPr>
          <w:p>
            <w:pPr>
              <w:pStyle w:val="TableText"/>
              <w:ind w:left="2694"/>
              <w:spacing w:before="92" w:line="188" w:lineRule="auto"/>
              <w:rPr/>
            </w:pPr>
            <w:r>
              <w:rPr>
                <w:b/>
                <w:bCs/>
                <w:color w:val="FFFFFF"/>
                <w:spacing w:val="5"/>
              </w:rPr>
              <w:t>函件类别</w:t>
            </w:r>
          </w:p>
        </w:tc>
      </w:tr>
      <w:tr>
        <w:trPr>
          <w:trHeight w:val="362" w:hRule="atLeast"/>
        </w:trPr>
        <w:tc>
          <w:tcPr>
            <w:tcW w:w="1620" w:type="dxa"/>
            <w:vAlign w:val="top"/>
            <w:tcBorders>
              <w:top w:val="single" w:color="FFFFFF" w:sz="10" w:space="0"/>
            </w:tcBorders>
          </w:tcPr>
          <w:p>
            <w:pPr>
              <w:pStyle w:val="TableText"/>
              <w:ind w:left="444"/>
              <w:spacing w:before="98" w:line="177" w:lineRule="auto"/>
              <w:rPr/>
            </w:pPr>
            <w:r>
              <w:rPr>
                <w:spacing w:val="3"/>
              </w:rPr>
              <w:t>600323</w:t>
            </w:r>
          </w:p>
        </w:tc>
        <w:tc>
          <w:tcPr>
            <w:tcW w:w="1215" w:type="dxa"/>
            <w:vAlign w:val="top"/>
            <w:tcBorders>
              <w:top w:val="single" w:color="FFFFFF" w:sz="10" w:space="0"/>
            </w:tcBorders>
          </w:tcPr>
          <w:p>
            <w:pPr>
              <w:pStyle w:val="TableText"/>
              <w:ind w:left="177"/>
              <w:spacing w:before="86" w:line="186" w:lineRule="auto"/>
              <w:rPr/>
            </w:pPr>
            <w:r>
              <w:rPr>
                <w:spacing w:val="8"/>
              </w:rPr>
              <w:t>瀚蓝环境</w:t>
            </w:r>
          </w:p>
        </w:tc>
        <w:tc>
          <w:tcPr>
            <w:tcW w:w="6219" w:type="dxa"/>
            <w:vAlign w:val="top"/>
            <w:tcBorders>
              <w:top w:val="single" w:color="FFFFFF" w:sz="10" w:space="0"/>
            </w:tcBorders>
          </w:tcPr>
          <w:p>
            <w:pPr>
              <w:pStyle w:val="TableText"/>
              <w:ind w:left="1738"/>
              <w:spacing w:before="83" w:line="188" w:lineRule="auto"/>
              <w:rPr/>
            </w:pPr>
            <w:r>
              <w:rPr>
                <w:spacing w:val="9"/>
              </w:rPr>
              <w:t>重大资产重组预案审核意见函</w:t>
            </w:r>
          </w:p>
        </w:tc>
      </w:tr>
    </w:tbl>
    <w:p>
      <w:pPr>
        <w:pStyle w:val="BodyText"/>
        <w:spacing w:line="345" w:lineRule="auto"/>
        <w:rPr/>
      </w:pPr>
      <w:r/>
    </w:p>
    <w:p>
      <w:pPr>
        <w:pStyle w:val="BodyText"/>
        <w:spacing w:line="345" w:lineRule="auto"/>
        <w:rPr/>
      </w:pPr>
      <w:r/>
    </w:p>
    <w:p>
      <w:pPr>
        <w:ind w:left="530"/>
        <w:spacing w:before="102"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ind w:firstLine="491"/>
        <w:spacing w:before="134"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2024年7月29日-8月4日， 上交所对178起拉抬打压、虚假申报等证券异常交易行为采取了书面警示</w:t>
      </w:r>
      <w:r>
        <w:rPr>
          <w:rFonts w:ascii="Microsoft YaHei" w:hAnsi="Microsoft YaHei" w:eastAsia="Microsoft YaHei" w:cs="Microsoft YaHei"/>
          <w:sz w:val="24"/>
          <w:szCs w:val="24"/>
          <w:spacing w:val="14"/>
        </w:rPr>
        <w:t xml:space="preserve"> </w:t>
      </w:r>
      <w:r>
        <w:rPr>
          <w:rFonts w:ascii="Microsoft YaHei" w:hAnsi="Microsoft YaHei" w:eastAsia="Microsoft YaHei" w:cs="Microsoft YaHei"/>
          <w:sz w:val="24"/>
          <w:szCs w:val="24"/>
          <w:spacing w:val="-3"/>
        </w:rPr>
        <w:t>等监管措施， 对18起上市公司重大事项等进行专项核查， 向证监会上报涉嫌违法违规案件</w:t>
      </w:r>
      <w:r>
        <w:rPr>
          <w:rFonts w:ascii="Microsoft YaHei" w:hAnsi="Microsoft YaHei" w:eastAsia="Microsoft YaHei" w:cs="Microsoft YaHei"/>
          <w:sz w:val="24"/>
          <w:szCs w:val="24"/>
          <w:spacing w:val="-4"/>
        </w:rPr>
        <w:t>线索1起。</w:t>
      </w:r>
    </w:p>
    <w:p>
      <w:pPr>
        <w:spacing w:line="359" w:lineRule="auto"/>
        <w:sectPr>
          <w:headerReference w:type="default" r:id="rId2"/>
          <w:pgSz w:w="11910" w:h="16840"/>
          <w:pgMar w:top="400" w:right="558" w:bottom="0" w:left="442" w:header="0" w:footer="0" w:gutter="0"/>
        </w:sectPr>
        <w:rPr>
          <w:rFonts w:ascii="Microsoft YaHei" w:hAnsi="Microsoft YaHei" w:eastAsia="Microsoft YaHei" w:cs="Microsoft YaHei"/>
          <w:sz w:val="24"/>
          <w:szCs w:val="24"/>
        </w:rPr>
      </w:pPr>
    </w:p>
    <w:p>
      <w:pPr>
        <w:ind w:firstLine="2"/>
        <w:spacing w:line="1137" w:lineRule="exact"/>
        <w:rPr/>
      </w:pPr>
      <w:r>
        <w:rPr>
          <w:position w:val="-22"/>
        </w:rPr>
        <w:pict>
          <v:group id="_x0000_s34" style="mso-position-vertical-relative:line;mso-position-horizontal-relative:char;width:67.85pt;height:56.9pt;" filled="false" stroked="false" coordsize="1356,1138" coordorigin="0,0">
            <v:shape id="_x0000_s36" style="position:absolute;left:0;top:0;width:1356;height:1138;" fillcolor="#A61C1F" filled="true" stroked="false" coordsize="1356,1138" coordorigin="0,0" path="m,l1356,0l1356,1137l0,1137l0,0xe"/>
            <v:shape id="_x0000_s38"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59" w:bottom="0" w:left="12" w:header="0" w:footer="0" w:gutter="0"/>
          <w:cols w:equalWidth="0" w:num="2">
            <w:col w:w="1556" w:space="100"/>
            <w:col w:w="10184" w:space="0"/>
          </w:cols>
        </w:sectPr>
        <w:rPr>
          <w:rFonts w:ascii="Microsoft YaHei" w:hAnsi="Microsoft YaHei" w:eastAsia="Microsoft YaHei" w:cs="Microsoft YaHei"/>
          <w:sz w:val="43"/>
          <w:szCs w:val="43"/>
        </w:rPr>
      </w:pPr>
    </w:p>
    <w:p>
      <w:pPr>
        <w:pStyle w:val="BodyText"/>
        <w:spacing w:line="384" w:lineRule="auto"/>
        <w:rPr/>
      </w:pPr>
      <w:r>
        <w:drawing>
          <wp:anchor distT="0" distB="0" distL="0" distR="0" simplePos="0" relativeHeight="251677696" behindDoc="0" locked="0" layoutInCell="1" allowOverlap="1">
            <wp:simplePos x="0" y="0"/>
            <wp:positionH relativeFrom="column">
              <wp:posOffset>842645</wp:posOffset>
            </wp:positionH>
            <wp:positionV relativeFrom="paragraph">
              <wp:posOffset>-34658</wp:posOffset>
            </wp:positionV>
            <wp:extent cx="6675119" cy="32245"/>
            <wp:effectExtent l="0" t="0" r="0" b="0"/>
            <wp:wrapNone/>
            <wp:docPr id="22" name="IM 22"/>
            <wp:cNvGraphicFramePr/>
            <a:graphic>
              <a:graphicData uri="http://schemas.openxmlformats.org/drawingml/2006/picture">
                <pic:pic>
                  <pic:nvPicPr>
                    <pic:cNvPr id="22" name="IM 22"/>
                    <pic:cNvPicPr/>
                  </pic:nvPicPr>
                  <pic:blipFill>
                    <a:blip r:embed="rId15"/>
                    <a:stretch>
                      <a:fillRect/>
                    </a:stretch>
                  </pic:blipFill>
                  <pic:spPr>
                    <a:xfrm rot="0">
                      <a:off x="0" y="0"/>
                      <a:ext cx="6675119" cy="32245"/>
                    </a:xfrm>
                    <a:prstGeom prst="rect">
                      <a:avLst/>
                    </a:prstGeom>
                  </pic:spPr>
                </pic:pic>
              </a:graphicData>
            </a:graphic>
          </wp:anchor>
        </w:drawing>
      </w:r>
      <w:r/>
    </w:p>
    <w:p>
      <w:pPr>
        <w:spacing w:line="924" w:lineRule="exact"/>
        <w:rPr/>
      </w:pPr>
      <w:r>
        <w:rPr>
          <w:position w:val="-18"/>
        </w:rPr>
        <w:pict>
          <v:group id="_x0000_s40" style="mso-position-vertical-relative:line;mso-position-horizontal-relative:char;width:134.8pt;height:46.25pt;" filled="false" stroked="false" coordsize="2696,925" coordorigin="0,0">
            <v:shape id="_x0000_s42" style="position:absolute;left:0;top:0;width:2696;height:925;" filled="false" stroked="false" type="#_x0000_t75">
              <v:imagedata o:title="" r:id="rId13"/>
            </v:shape>
            <v:shape id="_x0000_s44" style="position:absolute;left:-20;top:-20;width:2736;height:965;" filled="false" stroked="false" type="#_x0000_t202">
              <v:fill on="false"/>
              <v:stroke on="false"/>
              <v:path/>
              <v:imagedata o:title=""/>
              <o:lock v:ext="edit" aspectratio="false"/>
              <v:textbox inset="0mm,0mm,0mm,0mm">
                <w:txbxContent>
                  <w:p>
                    <w:pPr>
                      <w:ind w:left="364"/>
                      <w:spacing w:before="282"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深交所监管动态</w:t>
                    </w:r>
                  </w:p>
                </w:txbxContent>
              </v:textbox>
            </v:shape>
          </v:group>
        </w:pict>
      </w:r>
    </w:p>
    <w:p>
      <w:pPr>
        <w:pStyle w:val="BodyText"/>
        <w:spacing w:line="323" w:lineRule="auto"/>
        <w:rPr/>
      </w:pPr>
      <w:r/>
    </w:p>
    <w:p>
      <w:pPr>
        <w:ind w:left="89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1、上市公司监管动态</w:t>
      </w:r>
    </w:p>
    <w:p>
      <w:pPr>
        <w:ind w:left="921"/>
        <w:spacing w:before="17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2024年7月29日-8月4日， 深交所发出15份监管函， 9份纪律处分措施。</w:t>
      </w:r>
    </w:p>
    <w:p>
      <w:pPr>
        <w:pStyle w:val="BodyText"/>
        <w:spacing w:line="413" w:lineRule="auto"/>
        <w:rPr/>
      </w:pPr>
      <w:r/>
    </w:p>
    <w:p>
      <w:pPr>
        <w:ind w:firstLine="1268"/>
        <w:spacing w:line="4431" w:lineRule="exact"/>
        <w:rPr/>
      </w:pPr>
      <w:r>
        <w:rPr>
          <w:position w:val="-88"/>
        </w:rPr>
        <w:drawing>
          <wp:inline distT="0" distB="0" distL="0" distR="0">
            <wp:extent cx="5811520" cy="2813685"/>
            <wp:effectExtent l="0" t="0" r="0" b="0"/>
            <wp:docPr id="24" name="IM 24"/>
            <wp:cNvGraphicFramePr/>
            <a:graphic>
              <a:graphicData uri="http://schemas.openxmlformats.org/drawingml/2006/picture">
                <pic:pic>
                  <pic:nvPicPr>
                    <pic:cNvPr id="24" name="IM 24"/>
                    <pic:cNvPicPr/>
                  </pic:nvPicPr>
                  <pic:blipFill>
                    <a:blip r:embed="rId16"/>
                    <a:stretch>
                      <a:fillRect/>
                    </a:stretch>
                  </pic:blipFill>
                  <pic:spPr>
                    <a:xfrm rot="0">
                      <a:off x="0" y="0"/>
                      <a:ext cx="5811520" cy="2813685"/>
                    </a:xfrm>
                    <a:prstGeom prst="rect">
                      <a:avLst/>
                    </a:prstGeom>
                  </pic:spPr>
                </pic:pic>
              </a:graphicData>
            </a:graphic>
          </wp:inline>
        </w:drawing>
      </w:r>
    </w:p>
    <w:p>
      <w:pPr>
        <w:pStyle w:val="BodyText"/>
        <w:rPr/>
      </w:pPr>
      <w:r/>
    </w:p>
    <w:p>
      <w:pPr>
        <w:ind w:left="745"/>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p>
      <w:pPr>
        <w:spacing w:line="173" w:lineRule="exact"/>
        <w:rPr/>
      </w:pPr>
      <w:r/>
    </w:p>
    <w:tbl>
      <w:tblPr>
        <w:tblStyle w:val="TableNormal"/>
        <w:tblW w:w="9202" w:type="dxa"/>
        <w:tblInd w:w="1241"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077"/>
        <w:gridCol w:w="1449"/>
        <w:gridCol w:w="1257"/>
        <w:gridCol w:w="5419"/>
      </w:tblGrid>
      <w:tr>
        <w:trPr>
          <w:trHeight w:val="766" w:hRule="atLeast"/>
        </w:trPr>
        <w:tc>
          <w:tcPr>
            <w:shd w:val="clear" w:fill="4BACC6"/>
            <w:tcW w:w="1077" w:type="dxa"/>
            <w:vAlign w:val="top"/>
          </w:tcPr>
          <w:p>
            <w:pPr>
              <w:pStyle w:val="TableText"/>
              <w:ind w:left="428" w:right="206" w:hanging="219"/>
              <w:spacing w:before="95" w:line="210" w:lineRule="auto"/>
              <w:rPr>
                <w:sz w:val="22"/>
                <w:szCs w:val="22"/>
              </w:rPr>
            </w:pPr>
            <w:r>
              <w:rPr>
                <w:sz w:val="22"/>
                <w:szCs w:val="22"/>
                <w:b/>
                <w:bCs/>
                <w:color w:val="FFFFFF"/>
                <w:spacing w:val="-2"/>
              </w:rPr>
              <w:t>公司代</w:t>
            </w:r>
            <w:r>
              <w:rPr>
                <w:sz w:val="22"/>
                <w:szCs w:val="22"/>
                <w:b/>
                <w:bCs/>
                <w:color w:val="FFFFFF"/>
              </w:rPr>
              <w:t xml:space="preserve"> </w:t>
            </w:r>
            <w:r>
              <w:rPr>
                <w:sz w:val="22"/>
                <w:szCs w:val="22"/>
                <w:b/>
                <w:bCs/>
                <w:color w:val="FFFFFF"/>
              </w:rPr>
              <w:t>码</w:t>
            </w:r>
          </w:p>
        </w:tc>
        <w:tc>
          <w:tcPr>
            <w:shd w:val="clear" w:fill="4BACC6"/>
            <w:tcW w:w="1449" w:type="dxa"/>
            <w:vAlign w:val="top"/>
            <w:tcBorders>
              <w:top w:val="nil"/>
            </w:tcBorders>
          </w:tcPr>
          <w:p>
            <w:pPr>
              <w:pStyle w:val="TableText"/>
              <w:ind w:left="284"/>
              <w:spacing w:before="94" w:line="183" w:lineRule="auto"/>
              <w:rPr>
                <w:sz w:val="22"/>
                <w:szCs w:val="22"/>
              </w:rPr>
            </w:pPr>
            <w:r>
              <w:rPr>
                <w:sz w:val="22"/>
                <w:szCs w:val="22"/>
                <w:b/>
                <w:bCs/>
                <w:color w:val="FFFFFF"/>
                <w:spacing w:val="-1"/>
              </w:rPr>
              <w:t>公司简称</w:t>
            </w:r>
          </w:p>
        </w:tc>
        <w:tc>
          <w:tcPr>
            <w:shd w:val="clear" w:fill="4BACC6"/>
            <w:tcW w:w="1257" w:type="dxa"/>
            <w:vAlign w:val="top"/>
            <w:tcBorders>
              <w:top w:val="nil"/>
            </w:tcBorders>
          </w:tcPr>
          <w:p>
            <w:pPr>
              <w:pStyle w:val="TableText"/>
              <w:ind w:left="188"/>
              <w:spacing w:before="94" w:line="183" w:lineRule="auto"/>
              <w:rPr>
                <w:sz w:val="22"/>
                <w:szCs w:val="22"/>
              </w:rPr>
            </w:pPr>
            <w:r>
              <w:rPr>
                <w:sz w:val="22"/>
                <w:szCs w:val="22"/>
                <w:b/>
                <w:bCs/>
                <w:color w:val="FFFFFF"/>
                <w:spacing w:val="-1"/>
              </w:rPr>
              <w:t>监管类型</w:t>
            </w:r>
          </w:p>
        </w:tc>
        <w:tc>
          <w:tcPr>
            <w:shd w:val="clear" w:fill="4BACC6"/>
            <w:tcW w:w="5419" w:type="dxa"/>
            <w:vAlign w:val="top"/>
            <w:tcBorders>
              <w:top w:val="nil"/>
            </w:tcBorders>
          </w:tcPr>
          <w:p>
            <w:pPr>
              <w:pStyle w:val="TableText"/>
              <w:ind w:left="2267"/>
              <w:spacing w:before="94" w:line="183" w:lineRule="auto"/>
              <w:rPr>
                <w:sz w:val="22"/>
                <w:szCs w:val="22"/>
              </w:rPr>
            </w:pPr>
            <w:r>
              <w:rPr>
                <w:sz w:val="22"/>
                <w:szCs w:val="22"/>
                <w:b/>
                <w:bCs/>
                <w:color w:val="FFFFFF"/>
                <w:spacing w:val="-1"/>
              </w:rPr>
              <w:t>处理事由</w:t>
            </w:r>
          </w:p>
        </w:tc>
      </w:tr>
      <w:tr>
        <w:trPr>
          <w:trHeight w:val="1445" w:hRule="atLeast"/>
        </w:trPr>
        <w:tc>
          <w:tcPr>
            <w:shd w:val="clear" w:fill="C7DAF1"/>
            <w:tcW w:w="1077" w:type="dxa"/>
            <w:vAlign w:val="top"/>
          </w:tcPr>
          <w:p>
            <w:pPr>
              <w:spacing w:line="274" w:lineRule="auto"/>
              <w:rPr>
                <w:rFonts w:ascii="Arial"/>
                <w:sz w:val="21"/>
              </w:rPr>
            </w:pPr>
            <w:r/>
          </w:p>
          <w:p>
            <w:pPr>
              <w:spacing w:line="274" w:lineRule="auto"/>
              <w:rPr>
                <w:rFonts w:ascii="Arial"/>
                <w:sz w:val="21"/>
              </w:rPr>
            </w:pPr>
            <w:r/>
          </w:p>
          <w:p>
            <w:pPr>
              <w:pStyle w:val="TableText"/>
              <w:ind w:left="176"/>
              <w:spacing w:before="86" w:line="179" w:lineRule="auto"/>
              <w:rPr/>
            </w:pPr>
            <w:r>
              <w:rPr>
                <w:spacing w:val="3"/>
              </w:rPr>
              <w:t>002901</w:t>
            </w:r>
          </w:p>
        </w:tc>
        <w:tc>
          <w:tcPr>
            <w:shd w:val="clear" w:fill="C7DAF1"/>
            <w:tcW w:w="1449" w:type="dxa"/>
            <w:vAlign w:val="top"/>
          </w:tcPr>
          <w:p>
            <w:pPr>
              <w:spacing w:line="267" w:lineRule="auto"/>
              <w:rPr>
                <w:rFonts w:ascii="Arial"/>
                <w:sz w:val="21"/>
              </w:rPr>
            </w:pPr>
            <w:r/>
          </w:p>
          <w:p>
            <w:pPr>
              <w:spacing w:line="268" w:lineRule="auto"/>
              <w:rPr>
                <w:rFonts w:ascii="Arial"/>
                <w:sz w:val="21"/>
              </w:rPr>
            </w:pPr>
            <w:r/>
          </w:p>
          <w:p>
            <w:pPr>
              <w:pStyle w:val="TableText"/>
              <w:ind w:left="302"/>
              <w:spacing w:before="86" w:line="189" w:lineRule="auto"/>
              <w:rPr/>
            </w:pPr>
            <w:r>
              <w:rPr>
                <w:spacing w:val="8"/>
              </w:rPr>
              <w:t>大博医疗</w:t>
            </w:r>
          </w:p>
        </w:tc>
        <w:tc>
          <w:tcPr>
            <w:shd w:val="clear" w:fill="C7DAF1"/>
            <w:tcW w:w="1257" w:type="dxa"/>
            <w:vAlign w:val="top"/>
          </w:tcPr>
          <w:p>
            <w:pPr>
              <w:spacing w:line="267" w:lineRule="auto"/>
              <w:rPr>
                <w:rFonts w:ascii="Arial"/>
                <w:sz w:val="21"/>
              </w:rPr>
            </w:pPr>
            <w:r/>
          </w:p>
          <w:p>
            <w:pPr>
              <w:spacing w:line="268" w:lineRule="auto"/>
              <w:rPr>
                <w:rFonts w:ascii="Arial"/>
                <w:sz w:val="21"/>
              </w:rPr>
            </w:pPr>
            <w:r/>
          </w:p>
          <w:p>
            <w:pPr>
              <w:pStyle w:val="TableText"/>
              <w:ind w:left="314"/>
              <w:spacing w:before="85" w:line="189" w:lineRule="auto"/>
              <w:rPr/>
            </w:pPr>
            <w:r>
              <w:rPr>
                <w:spacing w:val="8"/>
              </w:rPr>
              <w:t>监管函</w:t>
            </w:r>
          </w:p>
        </w:tc>
        <w:tc>
          <w:tcPr>
            <w:shd w:val="clear" w:fill="C7DAF1"/>
            <w:tcW w:w="5419" w:type="dxa"/>
            <w:vAlign w:val="top"/>
          </w:tcPr>
          <w:p>
            <w:pPr>
              <w:pStyle w:val="TableText"/>
              <w:ind w:left="108" w:right="269"/>
              <w:spacing w:before="85" w:line="250" w:lineRule="auto"/>
              <w:rPr/>
            </w:pPr>
            <w:r>
              <w:rPr>
                <w:b/>
                <w:bCs/>
                <w:spacing w:val="7"/>
              </w:rPr>
              <w:t>现金管理期限届满</w:t>
            </w:r>
            <w:r>
              <w:rPr>
                <w:spacing w:val="7"/>
              </w:rPr>
              <w:t>后， 公司继续使用部分闲置募集资金</w:t>
            </w:r>
            <w:r>
              <w:rPr/>
              <w:t xml:space="preserve"> </w:t>
            </w:r>
            <w:r>
              <w:rPr>
                <w:spacing w:val="6"/>
              </w:rPr>
              <w:t>进行现金管理； </w:t>
            </w:r>
            <w:r>
              <w:rPr>
                <w:b/>
                <w:bCs/>
                <w:spacing w:val="6"/>
              </w:rPr>
              <w:t>关联人名单及关联关系</w:t>
            </w:r>
            <w:r>
              <w:rPr>
                <w:spacing w:val="6"/>
              </w:rPr>
              <w:t>披露不完整；</w:t>
            </w:r>
          </w:p>
          <w:p>
            <w:pPr>
              <w:pStyle w:val="TableText"/>
              <w:ind w:left="109" w:right="197" w:firstLine="9"/>
              <w:spacing w:before="5" w:line="220" w:lineRule="auto"/>
              <w:rPr/>
            </w:pPr>
            <w:r>
              <w:rPr>
                <w:spacing w:val="6"/>
              </w:rPr>
              <w:t>2023年年度报告信息披露存在</w:t>
            </w:r>
            <w:r>
              <w:rPr>
                <w:b/>
                <w:bCs/>
                <w:spacing w:val="6"/>
              </w:rPr>
              <w:t>错误</w:t>
            </w:r>
            <w:r>
              <w:rPr>
                <w:spacing w:val="6"/>
              </w:rPr>
              <w:t>； </w:t>
            </w:r>
            <w:r>
              <w:rPr>
                <w:b/>
                <w:bCs/>
                <w:spacing w:val="6"/>
              </w:rPr>
              <w:t>内部制度</w:t>
            </w:r>
            <w:r>
              <w:rPr>
                <w:spacing w:val="6"/>
              </w:rPr>
              <w:t>执行不到 </w:t>
            </w:r>
            <w:r>
              <w:rPr>
                <w:spacing w:val="8"/>
              </w:rPr>
              <w:t>位、管理不规范。</w:t>
            </w:r>
          </w:p>
        </w:tc>
      </w:tr>
      <w:tr>
        <w:trPr>
          <w:trHeight w:val="611" w:hRule="atLeast"/>
        </w:trPr>
        <w:tc>
          <w:tcPr>
            <w:tcW w:w="1077" w:type="dxa"/>
            <w:vAlign w:val="top"/>
          </w:tcPr>
          <w:p>
            <w:pPr>
              <w:pStyle w:val="TableText"/>
              <w:ind w:left="181"/>
              <w:spacing w:before="223" w:line="178" w:lineRule="auto"/>
              <w:rPr/>
            </w:pPr>
            <w:r>
              <w:rPr>
                <w:spacing w:val="3"/>
              </w:rPr>
              <w:t>300003</w:t>
            </w:r>
          </w:p>
        </w:tc>
        <w:tc>
          <w:tcPr>
            <w:tcW w:w="1449" w:type="dxa"/>
            <w:vAlign w:val="top"/>
          </w:tcPr>
          <w:p>
            <w:pPr>
              <w:pStyle w:val="TableText"/>
              <w:ind w:left="302"/>
              <w:spacing w:before="207" w:line="190" w:lineRule="auto"/>
              <w:rPr/>
            </w:pPr>
            <w:r>
              <w:rPr>
                <w:spacing w:val="8"/>
              </w:rPr>
              <w:t>乐普医疗</w:t>
            </w:r>
          </w:p>
        </w:tc>
        <w:tc>
          <w:tcPr>
            <w:tcW w:w="1257" w:type="dxa"/>
            <w:vAlign w:val="top"/>
          </w:tcPr>
          <w:p>
            <w:pPr>
              <w:pStyle w:val="TableText"/>
              <w:ind w:left="314"/>
              <w:spacing w:before="208" w:line="189" w:lineRule="auto"/>
              <w:rPr/>
            </w:pPr>
            <w:r>
              <w:rPr>
                <w:spacing w:val="8"/>
              </w:rPr>
              <w:t>监管函</w:t>
            </w:r>
          </w:p>
        </w:tc>
        <w:tc>
          <w:tcPr>
            <w:tcW w:w="5419" w:type="dxa"/>
            <w:vAlign w:val="top"/>
          </w:tcPr>
          <w:p>
            <w:pPr>
              <w:pStyle w:val="TableText"/>
              <w:ind w:left="108"/>
              <w:spacing w:before="207" w:line="190" w:lineRule="auto"/>
              <w:rPr/>
            </w:pPr>
            <w:r>
              <w:rPr>
                <w:spacing w:val="9"/>
              </w:rPr>
              <w:t>公司未经审议</w:t>
            </w:r>
            <w:r>
              <w:rPr>
                <w:b/>
                <w:bCs/>
                <w:spacing w:val="9"/>
              </w:rPr>
              <w:t>使用募集资金进行现金管理</w:t>
            </w:r>
            <w:r>
              <w:rPr>
                <w:spacing w:val="9"/>
              </w:rPr>
              <w:t>。</w:t>
            </w:r>
          </w:p>
        </w:tc>
      </w:tr>
      <w:tr>
        <w:trPr>
          <w:trHeight w:val="1085" w:hRule="atLeast"/>
        </w:trPr>
        <w:tc>
          <w:tcPr>
            <w:shd w:val="clear" w:fill="C7DAF1"/>
            <w:tcW w:w="1077" w:type="dxa"/>
            <w:vAlign w:val="top"/>
          </w:tcPr>
          <w:p>
            <w:pPr>
              <w:spacing w:line="372" w:lineRule="auto"/>
              <w:rPr>
                <w:rFonts w:ascii="Arial"/>
                <w:sz w:val="21"/>
              </w:rPr>
            </w:pPr>
            <w:r/>
          </w:p>
          <w:p>
            <w:pPr>
              <w:pStyle w:val="TableText"/>
              <w:ind w:left="181"/>
              <w:spacing w:before="85" w:line="179" w:lineRule="auto"/>
              <w:rPr/>
            </w:pPr>
            <w:r>
              <w:rPr>
                <w:spacing w:val="3"/>
              </w:rPr>
              <w:t>301357</w:t>
            </w:r>
          </w:p>
        </w:tc>
        <w:tc>
          <w:tcPr>
            <w:shd w:val="clear" w:fill="C7DAF1"/>
            <w:tcW w:w="1449" w:type="dxa"/>
            <w:vAlign w:val="top"/>
          </w:tcPr>
          <w:p>
            <w:pPr>
              <w:spacing w:line="358" w:lineRule="auto"/>
              <w:rPr>
                <w:rFonts w:ascii="Arial"/>
                <w:sz w:val="21"/>
              </w:rPr>
            </w:pPr>
            <w:r/>
          </w:p>
          <w:p>
            <w:pPr>
              <w:pStyle w:val="TableText"/>
              <w:ind w:left="302"/>
              <w:spacing w:before="86" w:line="189" w:lineRule="auto"/>
              <w:rPr/>
            </w:pPr>
            <w:r>
              <w:rPr>
                <w:spacing w:val="8"/>
              </w:rPr>
              <w:t>北方长龙</w:t>
            </w:r>
          </w:p>
        </w:tc>
        <w:tc>
          <w:tcPr>
            <w:shd w:val="clear" w:fill="C7DAF1"/>
            <w:tcW w:w="1257" w:type="dxa"/>
            <w:vAlign w:val="top"/>
          </w:tcPr>
          <w:p>
            <w:pPr>
              <w:spacing w:line="358" w:lineRule="auto"/>
              <w:rPr>
                <w:rFonts w:ascii="Arial"/>
                <w:sz w:val="21"/>
              </w:rPr>
            </w:pPr>
            <w:r/>
          </w:p>
          <w:p>
            <w:pPr>
              <w:pStyle w:val="TableText"/>
              <w:ind w:left="314"/>
              <w:spacing w:before="86" w:line="189" w:lineRule="auto"/>
              <w:rPr/>
            </w:pPr>
            <w:r>
              <w:rPr>
                <w:spacing w:val="8"/>
              </w:rPr>
              <w:t>监管函</w:t>
            </w:r>
          </w:p>
        </w:tc>
        <w:tc>
          <w:tcPr>
            <w:shd w:val="clear" w:fill="C7DAF1"/>
            <w:tcW w:w="5419" w:type="dxa"/>
            <w:vAlign w:val="top"/>
          </w:tcPr>
          <w:p>
            <w:pPr>
              <w:pStyle w:val="TableText"/>
              <w:ind w:left="109" w:right="269" w:firstLine="1"/>
              <w:spacing w:before="84" w:line="231" w:lineRule="auto"/>
              <w:jc w:val="both"/>
              <w:rPr/>
            </w:pPr>
            <w:r>
              <w:rPr>
                <w:b/>
                <w:bCs/>
                <w:spacing w:val="7"/>
              </w:rPr>
              <w:t>业绩预告</w:t>
            </w:r>
            <w:r>
              <w:rPr>
                <w:spacing w:val="7"/>
              </w:rPr>
              <w:t>中的净利润与年度报告相比存在较大差异；</w:t>
            </w:r>
            <w:r>
              <w:rPr>
                <w:spacing w:val="6"/>
              </w:rPr>
              <w:t xml:space="preserve"> 扣</w:t>
            </w:r>
            <w:r>
              <w:rPr/>
              <w:t xml:space="preserve"> </w:t>
            </w:r>
            <w:r>
              <w:rPr>
                <w:spacing w:val="7"/>
              </w:rPr>
              <w:t>非净利润与年度报告相比， 盈亏性质发生变化且存在较</w:t>
            </w:r>
            <w:r>
              <w:rPr/>
              <w:t xml:space="preserve"> </w:t>
            </w:r>
            <w:r>
              <w:rPr>
                <w:spacing w:val="6"/>
              </w:rPr>
              <w:t>大差异， 业绩预告披露信息不准确且修正不及时。</w:t>
            </w:r>
          </w:p>
        </w:tc>
      </w:tr>
      <w:tr>
        <w:trPr>
          <w:trHeight w:val="724" w:hRule="atLeast"/>
        </w:trPr>
        <w:tc>
          <w:tcPr>
            <w:tcW w:w="1077" w:type="dxa"/>
            <w:vAlign w:val="top"/>
          </w:tcPr>
          <w:p>
            <w:pPr>
              <w:pStyle w:val="TableText"/>
              <w:ind w:left="181"/>
              <w:spacing w:before="279" w:line="179" w:lineRule="auto"/>
              <w:rPr/>
            </w:pPr>
            <w:r>
              <w:rPr>
                <w:spacing w:val="3"/>
              </w:rPr>
              <w:t>301439</w:t>
            </w:r>
          </w:p>
        </w:tc>
        <w:tc>
          <w:tcPr>
            <w:tcW w:w="1449" w:type="dxa"/>
            <w:vAlign w:val="top"/>
          </w:tcPr>
          <w:p>
            <w:pPr>
              <w:pStyle w:val="TableText"/>
              <w:ind w:left="302"/>
              <w:spacing w:before="267" w:line="188" w:lineRule="auto"/>
              <w:rPr/>
            </w:pPr>
            <w:r>
              <w:rPr>
                <w:spacing w:val="8"/>
              </w:rPr>
              <w:t>泓淋电力</w:t>
            </w:r>
          </w:p>
        </w:tc>
        <w:tc>
          <w:tcPr>
            <w:tcW w:w="1257" w:type="dxa"/>
            <w:vAlign w:val="top"/>
          </w:tcPr>
          <w:p>
            <w:pPr>
              <w:pStyle w:val="TableText"/>
              <w:ind w:left="314"/>
              <w:spacing w:before="266" w:line="189" w:lineRule="auto"/>
              <w:rPr/>
            </w:pPr>
            <w:r>
              <w:rPr>
                <w:spacing w:val="8"/>
              </w:rPr>
              <w:t>监管函</w:t>
            </w:r>
          </w:p>
        </w:tc>
        <w:tc>
          <w:tcPr>
            <w:tcW w:w="5419" w:type="dxa"/>
            <w:vAlign w:val="top"/>
          </w:tcPr>
          <w:p>
            <w:pPr>
              <w:pStyle w:val="TableText"/>
              <w:ind w:left="116" w:right="269" w:hanging="8"/>
              <w:spacing w:before="87" w:line="219" w:lineRule="auto"/>
              <w:rPr/>
            </w:pPr>
            <w:r>
              <w:rPr>
                <w:spacing w:val="7"/>
              </w:rPr>
              <w:t>股东大会授权的投资期限到期后， 公司仍存在使用部分</w:t>
            </w:r>
            <w:r>
              <w:rPr/>
              <w:t xml:space="preserve"> </w:t>
            </w:r>
            <w:r>
              <w:rPr>
                <w:b/>
                <w:bCs/>
                <w:spacing w:val="8"/>
              </w:rPr>
              <w:t>闲置募集资金进行现金管理</w:t>
            </w:r>
            <w:r>
              <w:rPr>
                <w:spacing w:val="8"/>
              </w:rPr>
              <w:t>的情形。</w:t>
            </w:r>
          </w:p>
        </w:tc>
      </w:tr>
      <w:tr>
        <w:trPr>
          <w:trHeight w:val="1085" w:hRule="atLeast"/>
        </w:trPr>
        <w:tc>
          <w:tcPr>
            <w:shd w:val="clear" w:fill="C7DAF1"/>
            <w:tcW w:w="1077" w:type="dxa"/>
            <w:vAlign w:val="top"/>
          </w:tcPr>
          <w:p>
            <w:pPr>
              <w:spacing w:line="373" w:lineRule="auto"/>
              <w:rPr>
                <w:rFonts w:ascii="Arial"/>
                <w:sz w:val="21"/>
              </w:rPr>
            </w:pPr>
            <w:r/>
          </w:p>
          <w:p>
            <w:pPr>
              <w:pStyle w:val="TableText"/>
              <w:ind w:left="176"/>
              <w:spacing w:before="86" w:line="178" w:lineRule="auto"/>
              <w:rPr/>
            </w:pPr>
            <w:r>
              <w:rPr>
                <w:spacing w:val="3"/>
              </w:rPr>
              <w:t>002793</w:t>
            </w:r>
          </w:p>
        </w:tc>
        <w:tc>
          <w:tcPr>
            <w:shd w:val="clear" w:fill="C7DAF1"/>
            <w:tcW w:w="1449" w:type="dxa"/>
            <w:vAlign w:val="top"/>
          </w:tcPr>
          <w:p>
            <w:pPr>
              <w:spacing w:line="360" w:lineRule="auto"/>
              <w:rPr>
                <w:rFonts w:ascii="Arial"/>
                <w:sz w:val="21"/>
              </w:rPr>
            </w:pPr>
            <w:r/>
          </w:p>
          <w:p>
            <w:pPr>
              <w:pStyle w:val="TableText"/>
              <w:ind w:left="303"/>
              <w:spacing w:before="86" w:line="188" w:lineRule="auto"/>
              <w:rPr/>
            </w:pPr>
            <w:r>
              <w:rPr>
                <w:spacing w:val="8"/>
              </w:rPr>
              <w:t>罗欣药业</w:t>
            </w:r>
          </w:p>
        </w:tc>
        <w:tc>
          <w:tcPr>
            <w:shd w:val="clear" w:fill="C7DAF1"/>
            <w:tcW w:w="1257" w:type="dxa"/>
            <w:vAlign w:val="top"/>
          </w:tcPr>
          <w:p>
            <w:pPr>
              <w:spacing w:line="358" w:lineRule="auto"/>
              <w:rPr>
                <w:rFonts w:ascii="Arial"/>
                <w:sz w:val="21"/>
              </w:rPr>
            </w:pPr>
            <w:r/>
          </w:p>
          <w:p>
            <w:pPr>
              <w:pStyle w:val="TableText"/>
              <w:ind w:left="314"/>
              <w:spacing w:before="86" w:line="189" w:lineRule="auto"/>
              <w:rPr/>
            </w:pPr>
            <w:r>
              <w:rPr>
                <w:spacing w:val="8"/>
              </w:rPr>
              <w:t>监管函</w:t>
            </w:r>
          </w:p>
        </w:tc>
        <w:tc>
          <w:tcPr>
            <w:shd w:val="clear" w:fill="C7DAF1"/>
            <w:tcW w:w="5419" w:type="dxa"/>
            <w:vAlign w:val="top"/>
          </w:tcPr>
          <w:p>
            <w:pPr>
              <w:pStyle w:val="TableText"/>
              <w:ind w:left="108" w:right="125" w:firstLine="10"/>
              <w:spacing w:before="88" w:line="230" w:lineRule="auto"/>
              <w:rPr/>
            </w:pPr>
            <w:r>
              <w:rPr>
                <w:spacing w:val="6"/>
              </w:rPr>
              <w:t>2021年年报， 2022年一季报、半年报和三季报</w:t>
            </w:r>
            <w:r>
              <w:rPr>
                <w:b/>
                <w:bCs/>
                <w:spacing w:val="6"/>
              </w:rPr>
              <w:t>营</w:t>
            </w:r>
            <w:r>
              <w:rPr>
                <w:b/>
                <w:bCs/>
                <w:spacing w:val="5"/>
              </w:rPr>
              <w:t>业收入</w:t>
            </w:r>
            <w:r>
              <w:rPr>
                <w:b/>
                <w:bCs/>
              </w:rPr>
              <w:t xml:space="preserve"> </w:t>
            </w:r>
            <w:r>
              <w:rPr>
                <w:spacing w:val="4"/>
              </w:rPr>
              <w:t>金额披露不准确； 部分</w:t>
            </w:r>
            <w:r>
              <w:rPr>
                <w:b/>
                <w:bCs/>
                <w:spacing w:val="4"/>
              </w:rPr>
              <w:t>重要合同条款</w:t>
            </w:r>
            <w:r>
              <w:rPr>
                <w:spacing w:val="4"/>
              </w:rPr>
              <w:t>披露不完整； 部分   </w:t>
            </w:r>
            <w:r>
              <w:rPr>
                <w:b/>
                <w:bCs/>
                <w:spacing w:val="8"/>
              </w:rPr>
              <w:t>关联交易</w:t>
            </w:r>
            <w:r>
              <w:rPr>
                <w:spacing w:val="8"/>
              </w:rPr>
              <w:t>未审议未披露。</w:t>
            </w:r>
          </w:p>
        </w:tc>
      </w:tr>
      <w:tr>
        <w:trPr>
          <w:trHeight w:val="724" w:hRule="atLeast"/>
        </w:trPr>
        <w:tc>
          <w:tcPr>
            <w:tcW w:w="1077" w:type="dxa"/>
            <w:vAlign w:val="top"/>
          </w:tcPr>
          <w:p>
            <w:pPr>
              <w:pStyle w:val="TableText"/>
              <w:ind w:left="181"/>
              <w:spacing w:before="283" w:line="178" w:lineRule="auto"/>
              <w:rPr/>
            </w:pPr>
            <w:r>
              <w:rPr>
                <w:spacing w:val="3"/>
              </w:rPr>
              <w:t>300354</w:t>
            </w:r>
          </w:p>
        </w:tc>
        <w:tc>
          <w:tcPr>
            <w:tcW w:w="1449" w:type="dxa"/>
            <w:vAlign w:val="top"/>
          </w:tcPr>
          <w:p>
            <w:pPr>
              <w:pStyle w:val="TableText"/>
              <w:ind w:left="301"/>
              <w:spacing w:before="268" w:line="189" w:lineRule="auto"/>
              <w:rPr/>
            </w:pPr>
            <w:r>
              <w:rPr>
                <w:spacing w:val="8"/>
              </w:rPr>
              <w:t>东华测试</w:t>
            </w:r>
          </w:p>
        </w:tc>
        <w:tc>
          <w:tcPr>
            <w:tcW w:w="1257" w:type="dxa"/>
            <w:vAlign w:val="top"/>
          </w:tcPr>
          <w:p>
            <w:pPr>
              <w:pStyle w:val="TableText"/>
              <w:ind w:left="314"/>
              <w:spacing w:before="268" w:line="189" w:lineRule="auto"/>
              <w:rPr/>
            </w:pPr>
            <w:r>
              <w:rPr>
                <w:spacing w:val="8"/>
              </w:rPr>
              <w:t>监管函</w:t>
            </w:r>
          </w:p>
        </w:tc>
        <w:tc>
          <w:tcPr>
            <w:tcW w:w="5419" w:type="dxa"/>
            <w:vAlign w:val="top"/>
          </w:tcPr>
          <w:p>
            <w:pPr>
              <w:pStyle w:val="TableText"/>
              <w:ind w:left="108" w:right="269"/>
              <w:spacing w:before="87" w:line="219" w:lineRule="auto"/>
              <w:rPr/>
            </w:pPr>
            <w:r>
              <w:rPr>
                <w:spacing w:val="9"/>
              </w:rPr>
              <w:t>公司</w:t>
            </w:r>
            <w:r>
              <w:rPr>
                <w:b/>
                <w:bCs/>
                <w:spacing w:val="9"/>
              </w:rPr>
              <w:t>业绩预告</w:t>
            </w:r>
            <w:r>
              <w:rPr>
                <w:spacing w:val="9"/>
              </w:rPr>
              <w:t>披露的预计净利润与年报披露的经审计净</w:t>
            </w:r>
            <w:r>
              <w:rPr>
                <w:spacing w:val="18"/>
              </w:rPr>
              <w:t xml:space="preserve"> </w:t>
            </w:r>
            <w:r>
              <w:rPr>
                <w:spacing w:val="9"/>
              </w:rPr>
              <w:t>利润存在较大差异且未及时修正。</w:t>
            </w:r>
          </w:p>
        </w:tc>
      </w:tr>
      <w:tr>
        <w:trPr>
          <w:trHeight w:val="613" w:hRule="atLeast"/>
        </w:trPr>
        <w:tc>
          <w:tcPr>
            <w:shd w:val="clear" w:fill="C7DAF1"/>
            <w:tcW w:w="1077" w:type="dxa"/>
            <w:vAlign w:val="top"/>
          </w:tcPr>
          <w:p>
            <w:pPr>
              <w:pStyle w:val="TableText"/>
              <w:ind w:left="181"/>
              <w:spacing w:before="227" w:line="179" w:lineRule="auto"/>
              <w:rPr/>
            </w:pPr>
            <w:r>
              <w:rPr>
                <w:spacing w:val="3"/>
              </w:rPr>
              <w:t>300614</w:t>
            </w:r>
          </w:p>
        </w:tc>
        <w:tc>
          <w:tcPr>
            <w:shd w:val="clear" w:fill="C7DAF1"/>
            <w:tcW w:w="1449" w:type="dxa"/>
            <w:vAlign w:val="top"/>
          </w:tcPr>
          <w:p>
            <w:pPr>
              <w:pStyle w:val="TableText"/>
              <w:ind w:left="304"/>
              <w:spacing w:before="215" w:line="188" w:lineRule="auto"/>
              <w:rPr/>
            </w:pPr>
            <w:r>
              <w:rPr>
                <w:spacing w:val="8"/>
              </w:rPr>
              <w:t>百川畅银</w:t>
            </w:r>
          </w:p>
        </w:tc>
        <w:tc>
          <w:tcPr>
            <w:shd w:val="clear" w:fill="C7DAF1"/>
            <w:tcW w:w="1257" w:type="dxa"/>
            <w:vAlign w:val="top"/>
          </w:tcPr>
          <w:p>
            <w:pPr>
              <w:pStyle w:val="TableText"/>
              <w:ind w:left="314"/>
              <w:spacing w:before="213" w:line="189" w:lineRule="auto"/>
              <w:rPr/>
            </w:pPr>
            <w:r>
              <w:rPr>
                <w:spacing w:val="8"/>
              </w:rPr>
              <w:t>监管函</w:t>
            </w:r>
          </w:p>
        </w:tc>
        <w:tc>
          <w:tcPr>
            <w:shd w:val="clear" w:fill="C7DAF1"/>
            <w:tcW w:w="5419" w:type="dxa"/>
            <w:vAlign w:val="top"/>
          </w:tcPr>
          <w:p>
            <w:pPr>
              <w:pStyle w:val="TableText"/>
              <w:ind w:left="108"/>
              <w:spacing w:before="174" w:line="234" w:lineRule="auto"/>
              <w:rPr/>
            </w:pPr>
            <w:r>
              <w:rPr>
                <w:spacing w:val="5"/>
              </w:rPr>
              <w:t>《</w:t>
            </w:r>
            <w:r>
              <w:rPr>
                <w:spacing w:val="-29"/>
              </w:rPr>
              <w:t xml:space="preserve"> </w:t>
            </w:r>
            <w:r>
              <w:rPr>
                <w:spacing w:val="5"/>
              </w:rPr>
              <w:t>2023年年度报告》《</w:t>
            </w:r>
            <w:r>
              <w:rPr>
                <w:spacing w:val="-30"/>
              </w:rPr>
              <w:t xml:space="preserve"> </w:t>
            </w:r>
            <w:r>
              <w:rPr>
                <w:spacing w:val="5"/>
              </w:rPr>
              <w:t>2023年年度报告摘要》《</w:t>
            </w:r>
            <w:r>
              <w:rPr>
                <w:spacing w:val="-30"/>
              </w:rPr>
              <w:t xml:space="preserve"> </w:t>
            </w:r>
            <w:r>
              <w:rPr>
                <w:spacing w:val="5"/>
              </w:rPr>
              <w:t>2023</w:t>
            </w:r>
          </w:p>
        </w:tc>
      </w:tr>
    </w:tbl>
    <w:p>
      <w:pPr>
        <w:pStyle w:val="BodyText"/>
        <w:spacing w:line="14" w:lineRule="auto"/>
        <w:rPr>
          <w:sz w:val="2"/>
        </w:rPr>
      </w:pPr>
      <w:r/>
    </w:p>
    <w:p>
      <w:pPr>
        <w:spacing w:line="14" w:lineRule="auto"/>
        <w:sectPr>
          <w:type w:val="continuous"/>
          <w:pgSz w:w="11910" w:h="16840"/>
          <w:pgMar w:top="9" w:right="59" w:bottom="0" w:left="12" w:header="0" w:footer="0" w:gutter="0"/>
          <w:cols w:equalWidth="0" w:num="1">
            <w:col w:w="11840" w:space="0"/>
          </w:cols>
        </w:sectPr>
        <w:rPr>
          <w:sz w:val="2"/>
          <w:szCs w:val="2"/>
        </w:rPr>
      </w:pPr>
    </w:p>
    <w:tbl>
      <w:tblPr>
        <w:tblStyle w:val="TableNormal"/>
        <w:tblW w:w="9202" w:type="dxa"/>
        <w:tblInd w:w="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077"/>
        <w:gridCol w:w="1449"/>
        <w:gridCol w:w="1257"/>
        <w:gridCol w:w="5419"/>
      </w:tblGrid>
      <w:tr>
        <w:trPr>
          <w:trHeight w:val="615" w:hRule="atLeast"/>
        </w:trPr>
        <w:tc>
          <w:tcPr>
            <w:shd w:val="clear" w:fill="C7DAF1"/>
            <w:tcW w:w="1077" w:type="dxa"/>
            <w:vAlign w:val="top"/>
          </w:tcPr>
          <w:p>
            <w:pPr>
              <w:rPr>
                <w:rFonts w:ascii="Arial"/>
                <w:sz w:val="21"/>
              </w:rPr>
            </w:pPr>
            <w:r/>
          </w:p>
        </w:tc>
        <w:tc>
          <w:tcPr>
            <w:shd w:val="clear" w:fill="C7DAF1"/>
            <w:tcW w:w="1449" w:type="dxa"/>
            <w:vAlign w:val="top"/>
          </w:tcPr>
          <w:p>
            <w:pPr>
              <w:rPr>
                <w:rFonts w:ascii="Arial"/>
                <w:sz w:val="21"/>
              </w:rPr>
            </w:pPr>
            <w:r/>
          </w:p>
        </w:tc>
        <w:tc>
          <w:tcPr>
            <w:shd w:val="clear" w:fill="C7DAF1"/>
            <w:tcW w:w="1257" w:type="dxa"/>
            <w:vAlign w:val="top"/>
          </w:tcPr>
          <w:p>
            <w:pPr>
              <w:rPr>
                <w:rFonts w:ascii="Arial"/>
                <w:sz w:val="21"/>
              </w:rPr>
            </w:pPr>
            <w:r/>
          </w:p>
        </w:tc>
        <w:tc>
          <w:tcPr>
            <w:shd w:val="clear" w:fill="C7DAF1"/>
            <w:tcW w:w="5419" w:type="dxa"/>
            <w:vAlign w:val="top"/>
          </w:tcPr>
          <w:p>
            <w:pPr>
              <w:pStyle w:val="TableText"/>
              <w:ind w:left="110"/>
              <w:spacing w:before="52" w:line="233" w:lineRule="auto"/>
              <w:rPr/>
            </w:pPr>
            <w:r>
              <w:rPr>
                <w:spacing w:val="9"/>
              </w:rPr>
              <w:t>年年度财务报告》</w:t>
            </w:r>
            <w:r>
              <w:rPr>
                <w:b/>
                <w:bCs/>
                <w:spacing w:val="9"/>
              </w:rPr>
              <w:t>部分数据有误</w:t>
            </w:r>
            <w:r>
              <w:rPr>
                <w:spacing w:val="9"/>
              </w:rPr>
              <w:t>并进行了更正。</w:t>
            </w:r>
          </w:p>
        </w:tc>
      </w:tr>
      <w:tr>
        <w:trPr>
          <w:trHeight w:val="725" w:hRule="atLeast"/>
        </w:trPr>
        <w:tc>
          <w:tcPr>
            <w:tcW w:w="1077" w:type="dxa"/>
            <w:vAlign w:val="top"/>
          </w:tcPr>
          <w:p>
            <w:pPr>
              <w:pStyle w:val="TableText"/>
              <w:ind w:left="176"/>
              <w:spacing w:before="282" w:line="178" w:lineRule="auto"/>
              <w:rPr/>
            </w:pPr>
            <w:r>
              <w:rPr>
                <w:spacing w:val="3"/>
              </w:rPr>
              <w:t>000638</w:t>
            </w:r>
          </w:p>
        </w:tc>
        <w:tc>
          <w:tcPr>
            <w:tcW w:w="1449" w:type="dxa"/>
            <w:vAlign w:val="top"/>
          </w:tcPr>
          <w:p>
            <w:pPr>
              <w:pStyle w:val="TableText"/>
              <w:ind w:left="303"/>
              <w:spacing w:before="267" w:line="189" w:lineRule="auto"/>
              <w:rPr/>
            </w:pPr>
            <w:r>
              <w:rPr>
                <w:spacing w:val="8"/>
              </w:rPr>
              <w:t>万方发展</w:t>
            </w:r>
          </w:p>
        </w:tc>
        <w:tc>
          <w:tcPr>
            <w:tcW w:w="1257" w:type="dxa"/>
            <w:vAlign w:val="top"/>
          </w:tcPr>
          <w:p>
            <w:pPr>
              <w:pStyle w:val="TableText"/>
              <w:ind w:left="314"/>
              <w:spacing w:before="267" w:line="189" w:lineRule="auto"/>
              <w:rPr/>
            </w:pPr>
            <w:r>
              <w:rPr>
                <w:spacing w:val="8"/>
              </w:rPr>
              <w:t>监管函</w:t>
            </w:r>
          </w:p>
        </w:tc>
        <w:tc>
          <w:tcPr>
            <w:tcW w:w="5419" w:type="dxa"/>
            <w:vAlign w:val="top"/>
          </w:tcPr>
          <w:p>
            <w:pPr>
              <w:pStyle w:val="TableText"/>
              <w:ind w:left="109" w:right="269" w:firstLine="2"/>
              <w:spacing w:before="85" w:line="220" w:lineRule="auto"/>
              <w:rPr/>
            </w:pPr>
            <w:r>
              <w:rPr>
                <w:spacing w:val="7"/>
              </w:rPr>
              <w:t>司法判决若履行完毕， 可能导致万方发展</w:t>
            </w:r>
            <w:r>
              <w:rPr>
                <w:b/>
                <w:bCs/>
                <w:spacing w:val="7"/>
              </w:rPr>
              <w:t>控股</w:t>
            </w:r>
            <w:r>
              <w:rPr>
                <w:b/>
                <w:bCs/>
                <w:spacing w:val="6"/>
              </w:rPr>
              <w:t>股东发生</w:t>
            </w:r>
            <w:r>
              <w:rPr>
                <w:b/>
                <w:bCs/>
              </w:rPr>
              <w:t xml:space="preserve"> </w:t>
            </w:r>
            <w:r>
              <w:rPr>
                <w:b/>
                <w:bCs/>
                <w:spacing w:val="8"/>
              </w:rPr>
              <w:t>变更</w:t>
            </w:r>
            <w:r>
              <w:rPr>
                <w:spacing w:val="8"/>
              </w:rPr>
              <w:t>但未及时披露。</w:t>
            </w:r>
          </w:p>
        </w:tc>
      </w:tr>
      <w:tr>
        <w:trPr>
          <w:trHeight w:val="726" w:hRule="atLeast"/>
        </w:trPr>
        <w:tc>
          <w:tcPr>
            <w:shd w:val="clear" w:fill="C7DAF1"/>
            <w:tcW w:w="1077" w:type="dxa"/>
            <w:vAlign w:val="top"/>
          </w:tcPr>
          <w:p>
            <w:pPr>
              <w:pStyle w:val="TableText"/>
              <w:ind w:left="181"/>
              <w:spacing w:before="280" w:line="179" w:lineRule="auto"/>
              <w:rPr/>
            </w:pPr>
            <w:r>
              <w:rPr>
                <w:spacing w:val="3"/>
              </w:rPr>
              <w:t>301372</w:t>
            </w:r>
          </w:p>
        </w:tc>
        <w:tc>
          <w:tcPr>
            <w:shd w:val="clear" w:fill="C7DAF1"/>
            <w:tcW w:w="1449" w:type="dxa"/>
            <w:vAlign w:val="top"/>
          </w:tcPr>
          <w:p>
            <w:pPr>
              <w:pStyle w:val="TableText"/>
              <w:ind w:left="407"/>
              <w:spacing w:before="267" w:line="189" w:lineRule="auto"/>
              <w:rPr/>
            </w:pPr>
            <w:r>
              <w:rPr>
                <w:spacing w:val="8"/>
              </w:rPr>
              <w:t>科净源</w:t>
            </w:r>
          </w:p>
        </w:tc>
        <w:tc>
          <w:tcPr>
            <w:shd w:val="clear" w:fill="C7DAF1"/>
            <w:tcW w:w="1257" w:type="dxa"/>
            <w:vAlign w:val="top"/>
          </w:tcPr>
          <w:p>
            <w:pPr>
              <w:pStyle w:val="TableText"/>
              <w:ind w:left="314"/>
              <w:spacing w:before="266" w:line="189" w:lineRule="auto"/>
              <w:rPr/>
            </w:pPr>
            <w:r>
              <w:rPr>
                <w:spacing w:val="8"/>
              </w:rPr>
              <w:t>监管函</w:t>
            </w:r>
          </w:p>
        </w:tc>
        <w:tc>
          <w:tcPr>
            <w:shd w:val="clear" w:fill="C7DAF1"/>
            <w:tcW w:w="5419" w:type="dxa"/>
            <w:vAlign w:val="top"/>
          </w:tcPr>
          <w:p>
            <w:pPr>
              <w:pStyle w:val="TableText"/>
              <w:ind w:left="108" w:right="301"/>
              <w:spacing w:before="46" w:line="234" w:lineRule="auto"/>
              <w:rPr/>
            </w:pPr>
            <w:r>
              <w:rPr>
                <w:spacing w:val="7"/>
              </w:rPr>
              <w:t>公司归属于上市公司股东的净利润同比下降超过50%，</w:t>
            </w:r>
            <w:r>
              <w:rPr>
                <w:spacing w:val="15"/>
              </w:rPr>
              <w:t xml:space="preserve"> </w:t>
            </w:r>
            <w:r>
              <w:rPr>
                <w:spacing w:val="8"/>
              </w:rPr>
              <w:t>但公司未按规定及时披露</w:t>
            </w:r>
            <w:r>
              <w:rPr>
                <w:b/>
                <w:bCs/>
                <w:spacing w:val="8"/>
              </w:rPr>
              <w:t>2023年度业绩预告。</w:t>
            </w:r>
          </w:p>
        </w:tc>
      </w:tr>
      <w:tr>
        <w:trPr>
          <w:trHeight w:val="1085" w:hRule="atLeast"/>
        </w:trPr>
        <w:tc>
          <w:tcPr>
            <w:tcW w:w="1077" w:type="dxa"/>
            <w:vAlign w:val="top"/>
          </w:tcPr>
          <w:p>
            <w:pPr>
              <w:spacing w:line="372" w:lineRule="auto"/>
              <w:rPr>
                <w:rFonts w:ascii="Arial"/>
                <w:sz w:val="21"/>
              </w:rPr>
            </w:pPr>
            <w:r/>
          </w:p>
          <w:p>
            <w:pPr>
              <w:pStyle w:val="TableText"/>
              <w:ind w:left="176"/>
              <w:spacing w:before="86" w:line="178" w:lineRule="auto"/>
              <w:rPr/>
            </w:pPr>
            <w:r>
              <w:rPr>
                <w:spacing w:val="3"/>
              </w:rPr>
              <w:t>002237</w:t>
            </w:r>
          </w:p>
        </w:tc>
        <w:tc>
          <w:tcPr>
            <w:tcW w:w="1449" w:type="dxa"/>
            <w:vAlign w:val="top"/>
          </w:tcPr>
          <w:p>
            <w:pPr>
              <w:spacing w:line="359" w:lineRule="auto"/>
              <w:rPr>
                <w:rFonts w:ascii="Arial"/>
                <w:sz w:val="21"/>
              </w:rPr>
            </w:pPr>
            <w:r/>
          </w:p>
          <w:p>
            <w:pPr>
              <w:pStyle w:val="TableText"/>
              <w:ind w:left="302"/>
              <w:spacing w:before="85" w:line="188" w:lineRule="auto"/>
              <w:rPr/>
            </w:pPr>
            <w:r>
              <w:rPr>
                <w:spacing w:val="8"/>
              </w:rPr>
              <w:t>恒邦股份</w:t>
            </w:r>
          </w:p>
        </w:tc>
        <w:tc>
          <w:tcPr>
            <w:tcW w:w="1257" w:type="dxa"/>
            <w:vAlign w:val="top"/>
          </w:tcPr>
          <w:p>
            <w:pPr>
              <w:spacing w:line="357" w:lineRule="auto"/>
              <w:rPr>
                <w:rFonts w:ascii="Arial"/>
                <w:sz w:val="21"/>
              </w:rPr>
            </w:pPr>
            <w:r/>
          </w:p>
          <w:p>
            <w:pPr>
              <w:pStyle w:val="TableText"/>
              <w:ind w:left="314"/>
              <w:spacing w:before="86" w:line="189" w:lineRule="auto"/>
              <w:rPr/>
            </w:pPr>
            <w:r>
              <w:rPr>
                <w:spacing w:val="8"/>
              </w:rPr>
              <w:t>监管函</w:t>
            </w:r>
          </w:p>
        </w:tc>
        <w:tc>
          <w:tcPr>
            <w:tcW w:w="5419" w:type="dxa"/>
            <w:vAlign w:val="top"/>
          </w:tcPr>
          <w:p>
            <w:pPr>
              <w:pStyle w:val="TableText"/>
              <w:ind w:left="108" w:right="197"/>
              <w:spacing w:before="84" w:line="231" w:lineRule="auto"/>
              <w:jc w:val="both"/>
              <w:rPr/>
            </w:pPr>
            <w:r>
              <w:rPr>
                <w:spacing w:val="9"/>
              </w:rPr>
              <w:t>控股股东于2019年江西铜业收购山东恒邦冶炼股份有限</w:t>
            </w:r>
            <w:r>
              <w:rPr>
                <w:spacing w:val="2"/>
              </w:rPr>
              <w:t xml:space="preserve"> </w:t>
            </w:r>
            <w:r>
              <w:rPr>
                <w:spacing w:val="4"/>
              </w:rPr>
              <w:t>公司控制权时， 作出关于避免</w:t>
            </w:r>
            <w:r>
              <w:rPr>
                <w:b/>
                <w:bCs/>
                <w:spacing w:val="4"/>
              </w:rPr>
              <w:t>同业竞争的承诺</w:t>
            </w:r>
            <w:r>
              <w:rPr>
                <w:spacing w:val="4"/>
              </w:rPr>
              <w:t>， 承诺已</w:t>
            </w:r>
            <w:r>
              <w:rPr>
                <w:spacing w:val="5"/>
              </w:rPr>
              <w:t xml:space="preserve">  </w:t>
            </w:r>
            <w:r>
              <w:rPr>
                <w:spacing w:val="7"/>
              </w:rPr>
              <w:t>到期未完成。</w:t>
            </w:r>
          </w:p>
        </w:tc>
      </w:tr>
      <w:tr>
        <w:trPr>
          <w:trHeight w:val="725" w:hRule="atLeast"/>
        </w:trPr>
        <w:tc>
          <w:tcPr>
            <w:shd w:val="clear" w:fill="C7DAF1"/>
            <w:tcW w:w="1077" w:type="dxa"/>
            <w:vAlign w:val="top"/>
          </w:tcPr>
          <w:p>
            <w:pPr>
              <w:pStyle w:val="TableText"/>
              <w:ind w:left="181"/>
              <w:spacing w:before="280" w:line="179" w:lineRule="auto"/>
              <w:rPr/>
            </w:pPr>
            <w:r>
              <w:rPr>
                <w:spacing w:val="3"/>
              </w:rPr>
              <w:t>300152</w:t>
            </w:r>
          </w:p>
        </w:tc>
        <w:tc>
          <w:tcPr>
            <w:shd w:val="clear" w:fill="C7DAF1"/>
            <w:tcW w:w="1449" w:type="dxa"/>
            <w:vAlign w:val="top"/>
          </w:tcPr>
          <w:p>
            <w:pPr>
              <w:pStyle w:val="TableText"/>
              <w:ind w:left="408"/>
              <w:spacing w:before="267" w:line="189" w:lineRule="auto"/>
              <w:rPr/>
            </w:pPr>
            <w:r>
              <w:rPr>
                <w:spacing w:val="8"/>
              </w:rPr>
              <w:t>新动力</w:t>
            </w:r>
          </w:p>
        </w:tc>
        <w:tc>
          <w:tcPr>
            <w:shd w:val="clear" w:fill="C7DAF1"/>
            <w:tcW w:w="1257" w:type="dxa"/>
            <w:vAlign w:val="top"/>
          </w:tcPr>
          <w:p>
            <w:pPr>
              <w:pStyle w:val="TableText"/>
              <w:ind w:left="314"/>
              <w:spacing w:before="267" w:line="189" w:lineRule="auto"/>
              <w:rPr/>
            </w:pPr>
            <w:r>
              <w:rPr>
                <w:spacing w:val="8"/>
              </w:rPr>
              <w:t>监管函</w:t>
            </w:r>
          </w:p>
        </w:tc>
        <w:tc>
          <w:tcPr>
            <w:shd w:val="clear" w:fill="C7DAF1"/>
            <w:tcW w:w="5419" w:type="dxa"/>
            <w:vAlign w:val="top"/>
          </w:tcPr>
          <w:p>
            <w:pPr>
              <w:pStyle w:val="TableText"/>
              <w:ind w:left="108" w:right="269"/>
              <w:spacing w:before="85" w:line="220" w:lineRule="auto"/>
              <w:rPr/>
            </w:pPr>
            <w:r>
              <w:rPr>
                <w:spacing w:val="7"/>
              </w:rPr>
              <w:t>公司定期报告净利润与</w:t>
            </w:r>
            <w:r>
              <w:rPr>
                <w:b/>
                <w:bCs/>
                <w:spacing w:val="7"/>
              </w:rPr>
              <w:t>业绩预告</w:t>
            </w:r>
            <w:r>
              <w:rPr>
                <w:spacing w:val="7"/>
              </w:rPr>
              <w:t>净利润差异值较大， 信</w:t>
            </w:r>
            <w:r>
              <w:rPr/>
              <w:t xml:space="preserve"> </w:t>
            </w:r>
            <w:r>
              <w:rPr>
                <w:spacing w:val="7"/>
              </w:rPr>
              <w:t>息披露不准确。</w:t>
            </w:r>
          </w:p>
        </w:tc>
      </w:tr>
      <w:tr>
        <w:trPr>
          <w:trHeight w:val="725" w:hRule="atLeast"/>
        </w:trPr>
        <w:tc>
          <w:tcPr>
            <w:tcW w:w="1077" w:type="dxa"/>
            <w:vAlign w:val="top"/>
          </w:tcPr>
          <w:p>
            <w:pPr>
              <w:pStyle w:val="TableText"/>
              <w:ind w:left="176"/>
              <w:spacing w:before="282" w:line="178" w:lineRule="auto"/>
              <w:rPr/>
            </w:pPr>
            <w:r>
              <w:rPr>
                <w:spacing w:val="3"/>
              </w:rPr>
              <w:t>002502</w:t>
            </w:r>
          </w:p>
        </w:tc>
        <w:tc>
          <w:tcPr>
            <w:tcW w:w="1449" w:type="dxa"/>
            <w:vAlign w:val="top"/>
          </w:tcPr>
          <w:p>
            <w:pPr>
              <w:pStyle w:val="TableText"/>
              <w:ind w:left="403"/>
              <w:spacing w:before="267" w:line="189" w:lineRule="auto"/>
              <w:rPr/>
            </w:pPr>
            <w:r>
              <w:rPr/>
              <w:t>ST</w:t>
            </w:r>
            <w:r>
              <w:rPr>
                <w:spacing w:val="7"/>
              </w:rPr>
              <w:t>鼎龙</w:t>
            </w:r>
          </w:p>
        </w:tc>
        <w:tc>
          <w:tcPr>
            <w:tcW w:w="1257" w:type="dxa"/>
            <w:vAlign w:val="top"/>
          </w:tcPr>
          <w:p>
            <w:pPr>
              <w:pStyle w:val="TableText"/>
              <w:ind w:left="314"/>
              <w:spacing w:before="267" w:line="189" w:lineRule="auto"/>
              <w:rPr/>
            </w:pPr>
            <w:r>
              <w:rPr>
                <w:spacing w:val="8"/>
              </w:rPr>
              <w:t>监管函</w:t>
            </w:r>
          </w:p>
        </w:tc>
        <w:tc>
          <w:tcPr>
            <w:tcW w:w="5419" w:type="dxa"/>
            <w:vAlign w:val="top"/>
          </w:tcPr>
          <w:p>
            <w:pPr>
              <w:pStyle w:val="TableText"/>
              <w:ind w:left="108" w:right="478"/>
              <w:spacing w:before="85" w:line="220" w:lineRule="auto"/>
              <w:rPr/>
            </w:pPr>
            <w:r>
              <w:rPr>
                <w:spacing w:val="9"/>
              </w:rPr>
              <w:t>公司首次披露的</w:t>
            </w:r>
            <w:r>
              <w:rPr>
                <w:b/>
                <w:bCs/>
                <w:spacing w:val="9"/>
              </w:rPr>
              <w:t>业绩预告</w:t>
            </w:r>
            <w:r>
              <w:rPr>
                <w:spacing w:val="9"/>
              </w:rPr>
              <w:t>相关信息不准确且未及时修</w:t>
            </w:r>
            <w:r>
              <w:rPr>
                <w:spacing w:val="18"/>
              </w:rPr>
              <w:t xml:space="preserve"> </w:t>
            </w:r>
            <w:r>
              <w:rPr>
                <w:spacing w:val="3"/>
              </w:rPr>
              <w:t>正。</w:t>
            </w:r>
          </w:p>
        </w:tc>
      </w:tr>
      <w:tr>
        <w:trPr>
          <w:trHeight w:val="1085" w:hRule="atLeast"/>
        </w:trPr>
        <w:tc>
          <w:tcPr>
            <w:shd w:val="clear" w:fill="C7DAF1"/>
            <w:tcW w:w="1077" w:type="dxa"/>
            <w:vAlign w:val="top"/>
          </w:tcPr>
          <w:p>
            <w:pPr>
              <w:spacing w:line="373" w:lineRule="auto"/>
              <w:rPr>
                <w:rFonts w:ascii="Arial"/>
                <w:sz w:val="21"/>
              </w:rPr>
            </w:pPr>
            <w:r/>
          </w:p>
          <w:p>
            <w:pPr>
              <w:pStyle w:val="TableText"/>
              <w:ind w:left="181"/>
              <w:spacing w:before="86" w:line="178" w:lineRule="auto"/>
              <w:rPr/>
            </w:pPr>
            <w:r>
              <w:rPr>
                <w:spacing w:val="3"/>
              </w:rPr>
              <w:t>300265</w:t>
            </w:r>
          </w:p>
        </w:tc>
        <w:tc>
          <w:tcPr>
            <w:shd w:val="clear" w:fill="C7DAF1"/>
            <w:tcW w:w="1449" w:type="dxa"/>
            <w:vAlign w:val="top"/>
          </w:tcPr>
          <w:p>
            <w:pPr>
              <w:spacing w:line="358" w:lineRule="auto"/>
              <w:rPr>
                <w:rFonts w:ascii="Arial"/>
                <w:sz w:val="21"/>
              </w:rPr>
            </w:pPr>
            <w:r/>
          </w:p>
          <w:p>
            <w:pPr>
              <w:pStyle w:val="TableText"/>
              <w:ind w:left="302"/>
              <w:spacing w:before="86" w:line="189" w:lineRule="auto"/>
              <w:rPr/>
            </w:pPr>
            <w:r>
              <w:rPr>
                <w:spacing w:val="8"/>
              </w:rPr>
              <w:t>通光线缆</w:t>
            </w:r>
          </w:p>
        </w:tc>
        <w:tc>
          <w:tcPr>
            <w:shd w:val="clear" w:fill="C7DAF1"/>
            <w:tcW w:w="1257" w:type="dxa"/>
            <w:vAlign w:val="top"/>
          </w:tcPr>
          <w:p>
            <w:pPr>
              <w:spacing w:line="358" w:lineRule="auto"/>
              <w:rPr>
                <w:rFonts w:ascii="Arial"/>
                <w:sz w:val="21"/>
              </w:rPr>
            </w:pPr>
            <w:r/>
          </w:p>
          <w:p>
            <w:pPr>
              <w:pStyle w:val="TableText"/>
              <w:ind w:left="314"/>
              <w:spacing w:before="86" w:line="189" w:lineRule="auto"/>
              <w:rPr/>
            </w:pPr>
            <w:r>
              <w:rPr>
                <w:spacing w:val="8"/>
              </w:rPr>
              <w:t>监管函</w:t>
            </w:r>
          </w:p>
        </w:tc>
        <w:tc>
          <w:tcPr>
            <w:shd w:val="clear" w:fill="C7DAF1"/>
            <w:tcW w:w="5419" w:type="dxa"/>
            <w:vAlign w:val="top"/>
          </w:tcPr>
          <w:p>
            <w:pPr>
              <w:pStyle w:val="TableText"/>
              <w:ind w:left="108" w:right="269"/>
              <w:spacing w:before="88" w:line="230" w:lineRule="auto"/>
              <w:jc w:val="both"/>
              <w:rPr/>
            </w:pPr>
            <w:r>
              <w:rPr>
                <w:spacing w:val="7"/>
              </w:rPr>
              <w:t>公司向关联参股公司提供</w:t>
            </w:r>
            <w:r>
              <w:rPr>
                <w:b/>
                <w:bCs/>
                <w:spacing w:val="7"/>
              </w:rPr>
              <w:t>财务资助</w:t>
            </w:r>
            <w:r>
              <w:rPr>
                <w:spacing w:val="7"/>
              </w:rPr>
              <w:t>， 海通达其他股东未</w:t>
            </w:r>
            <w:r>
              <w:rPr/>
              <w:t xml:space="preserve"> </w:t>
            </w:r>
            <w:r>
              <w:rPr>
                <w:spacing w:val="7"/>
              </w:rPr>
              <w:t>按出资比例向海通达提供资金， 且关联交易未及时履行</w:t>
            </w:r>
            <w:r>
              <w:rPr/>
              <w:t xml:space="preserve"> </w:t>
            </w:r>
            <w:r>
              <w:rPr>
                <w:spacing w:val="8"/>
              </w:rPr>
              <w:t>审议程序和信息披露义务。</w:t>
            </w:r>
          </w:p>
        </w:tc>
      </w:tr>
      <w:tr>
        <w:trPr>
          <w:trHeight w:val="726" w:hRule="atLeast"/>
        </w:trPr>
        <w:tc>
          <w:tcPr>
            <w:tcW w:w="1077" w:type="dxa"/>
            <w:vAlign w:val="top"/>
          </w:tcPr>
          <w:p>
            <w:pPr>
              <w:pStyle w:val="TableText"/>
              <w:ind w:left="181"/>
              <w:spacing w:before="283" w:line="178" w:lineRule="auto"/>
              <w:rPr/>
            </w:pPr>
            <w:r>
              <w:rPr>
                <w:spacing w:val="3"/>
              </w:rPr>
              <w:t>300582</w:t>
            </w:r>
          </w:p>
        </w:tc>
        <w:tc>
          <w:tcPr>
            <w:tcW w:w="1449" w:type="dxa"/>
            <w:vAlign w:val="top"/>
          </w:tcPr>
          <w:p>
            <w:pPr>
              <w:pStyle w:val="TableText"/>
              <w:ind w:left="408"/>
              <w:spacing w:before="268" w:line="189" w:lineRule="auto"/>
              <w:rPr/>
            </w:pPr>
            <w:r>
              <w:rPr>
                <w:spacing w:val="8"/>
              </w:rPr>
              <w:t>英飞特</w:t>
            </w:r>
          </w:p>
        </w:tc>
        <w:tc>
          <w:tcPr>
            <w:tcW w:w="1257" w:type="dxa"/>
            <w:vAlign w:val="top"/>
          </w:tcPr>
          <w:p>
            <w:pPr>
              <w:pStyle w:val="TableText"/>
              <w:ind w:left="314"/>
              <w:spacing w:before="268" w:line="189" w:lineRule="auto"/>
              <w:rPr/>
            </w:pPr>
            <w:r>
              <w:rPr>
                <w:spacing w:val="8"/>
              </w:rPr>
              <w:t>监管函</w:t>
            </w:r>
          </w:p>
        </w:tc>
        <w:tc>
          <w:tcPr>
            <w:tcW w:w="5419" w:type="dxa"/>
            <w:vAlign w:val="top"/>
          </w:tcPr>
          <w:p>
            <w:pPr>
              <w:pStyle w:val="TableText"/>
              <w:ind w:left="108" w:right="197"/>
              <w:spacing w:before="49" w:line="233" w:lineRule="auto"/>
              <w:rPr/>
            </w:pPr>
            <w:r>
              <w:rPr>
                <w:spacing w:val="8"/>
              </w:rPr>
              <w:t>公司《</w:t>
            </w:r>
            <w:r>
              <w:rPr>
                <w:spacing w:val="-31"/>
              </w:rPr>
              <w:t xml:space="preserve"> </w:t>
            </w:r>
            <w:r>
              <w:rPr>
                <w:spacing w:val="8"/>
              </w:rPr>
              <w:t>2023年第三季度报告》披露的</w:t>
            </w:r>
            <w:r>
              <w:rPr>
                <w:b/>
                <w:bCs/>
                <w:spacing w:val="8"/>
              </w:rPr>
              <w:t>利润表、资产负债</w:t>
            </w:r>
            <w:r>
              <w:rPr>
                <w:b/>
                <w:bCs/>
              </w:rPr>
              <w:t xml:space="preserve"> </w:t>
            </w:r>
            <w:r>
              <w:rPr>
                <w:b/>
                <w:bCs/>
                <w:spacing w:val="8"/>
              </w:rPr>
              <w:t>表</w:t>
            </w:r>
            <w:r>
              <w:rPr>
                <w:spacing w:val="8"/>
              </w:rPr>
              <w:t>相关项目不准确。</w:t>
            </w:r>
          </w:p>
        </w:tc>
      </w:tr>
      <w:tr>
        <w:trPr>
          <w:trHeight w:val="725" w:hRule="atLeast"/>
        </w:trPr>
        <w:tc>
          <w:tcPr>
            <w:shd w:val="clear" w:fill="C7DAF1"/>
            <w:tcW w:w="1077" w:type="dxa"/>
            <w:vAlign w:val="top"/>
          </w:tcPr>
          <w:p>
            <w:pPr>
              <w:pStyle w:val="TableText"/>
              <w:ind w:left="176"/>
              <w:spacing w:before="282" w:line="178" w:lineRule="auto"/>
              <w:rPr/>
            </w:pPr>
            <w:r>
              <w:rPr>
                <w:spacing w:val="3"/>
              </w:rPr>
              <w:t>002808</w:t>
            </w:r>
          </w:p>
        </w:tc>
        <w:tc>
          <w:tcPr>
            <w:shd w:val="clear" w:fill="C7DAF1"/>
            <w:tcW w:w="1449" w:type="dxa"/>
            <w:vAlign w:val="top"/>
          </w:tcPr>
          <w:p>
            <w:pPr>
              <w:pStyle w:val="TableText"/>
              <w:ind w:left="403"/>
              <w:spacing w:before="270" w:line="187" w:lineRule="auto"/>
              <w:rPr/>
            </w:pPr>
            <w:r>
              <w:rPr/>
              <w:t>ST</w:t>
            </w:r>
            <w:r>
              <w:rPr>
                <w:spacing w:val="7"/>
              </w:rPr>
              <w:t>恒久</w:t>
            </w:r>
          </w:p>
        </w:tc>
        <w:tc>
          <w:tcPr>
            <w:shd w:val="clear" w:fill="C7DAF1"/>
            <w:tcW w:w="1257" w:type="dxa"/>
            <w:vAlign w:val="top"/>
          </w:tcPr>
          <w:p>
            <w:pPr>
              <w:pStyle w:val="TableText"/>
              <w:ind w:left="314"/>
              <w:spacing w:before="267" w:line="189" w:lineRule="auto"/>
              <w:rPr/>
            </w:pPr>
            <w:r>
              <w:rPr>
                <w:spacing w:val="8"/>
              </w:rPr>
              <w:t>监管函</w:t>
            </w:r>
          </w:p>
        </w:tc>
        <w:tc>
          <w:tcPr>
            <w:shd w:val="clear" w:fill="C7DAF1"/>
            <w:tcW w:w="5419" w:type="dxa"/>
            <w:vAlign w:val="top"/>
          </w:tcPr>
          <w:p>
            <w:pPr>
              <w:pStyle w:val="TableText"/>
              <w:ind w:left="110" w:right="269" w:hanging="2"/>
              <w:spacing w:before="85" w:line="220" w:lineRule="auto"/>
              <w:rPr/>
            </w:pPr>
            <w:r>
              <w:rPr>
                <w:spacing w:val="7"/>
              </w:rPr>
              <w:t>公司</w:t>
            </w:r>
            <w:r>
              <w:rPr>
                <w:b/>
                <w:bCs/>
                <w:spacing w:val="7"/>
              </w:rPr>
              <w:t>董事会秘书职位空缺已超过九个月</w:t>
            </w:r>
            <w:r>
              <w:rPr>
                <w:spacing w:val="7"/>
              </w:rPr>
              <w:t>， 仍未能完成董</w:t>
            </w:r>
            <w:r>
              <w:rPr/>
              <w:t xml:space="preserve"> </w:t>
            </w:r>
            <w:r>
              <w:rPr>
                <w:spacing w:val="8"/>
              </w:rPr>
              <w:t>事会秘书的聘任工作。</w:t>
            </w:r>
          </w:p>
        </w:tc>
      </w:tr>
      <w:tr>
        <w:trPr>
          <w:trHeight w:val="611" w:hRule="atLeast"/>
        </w:trPr>
        <w:tc>
          <w:tcPr>
            <w:tcW w:w="1077" w:type="dxa"/>
            <w:vAlign w:val="top"/>
          </w:tcPr>
          <w:p>
            <w:pPr>
              <w:pStyle w:val="TableText"/>
              <w:ind w:left="176"/>
              <w:spacing w:before="224" w:line="178" w:lineRule="auto"/>
              <w:rPr/>
            </w:pPr>
            <w:r>
              <w:rPr>
                <w:spacing w:val="3"/>
              </w:rPr>
              <w:t>000525</w:t>
            </w:r>
          </w:p>
        </w:tc>
        <w:tc>
          <w:tcPr>
            <w:tcW w:w="1449" w:type="dxa"/>
            <w:vAlign w:val="top"/>
          </w:tcPr>
          <w:p>
            <w:pPr>
              <w:pStyle w:val="TableText"/>
              <w:ind w:left="298"/>
              <w:spacing w:before="209" w:line="189" w:lineRule="auto"/>
              <w:rPr/>
            </w:pPr>
            <w:r>
              <w:rPr/>
              <w:t>ST</w:t>
            </w:r>
            <w:r>
              <w:rPr>
                <w:spacing w:val="8"/>
              </w:rPr>
              <w:t>红太阳</w:t>
            </w:r>
          </w:p>
        </w:tc>
        <w:tc>
          <w:tcPr>
            <w:tcW w:w="1257" w:type="dxa"/>
            <w:vAlign w:val="top"/>
          </w:tcPr>
          <w:p>
            <w:pPr>
              <w:pStyle w:val="TableText"/>
              <w:ind w:left="209"/>
              <w:spacing w:before="212" w:line="187" w:lineRule="auto"/>
              <w:rPr/>
            </w:pPr>
            <w:r>
              <w:rPr>
                <w:spacing w:val="8"/>
              </w:rPr>
              <w:t>公开谴责</w:t>
            </w:r>
          </w:p>
        </w:tc>
        <w:tc>
          <w:tcPr>
            <w:tcW w:w="5419" w:type="dxa"/>
            <w:vAlign w:val="top"/>
          </w:tcPr>
          <w:p>
            <w:pPr>
              <w:pStyle w:val="TableText"/>
              <w:ind w:left="110"/>
              <w:spacing w:before="209" w:line="189" w:lineRule="auto"/>
              <w:rPr/>
            </w:pPr>
            <w:r>
              <w:rPr>
                <w:spacing w:val="8"/>
              </w:rPr>
              <w:t>关联方</w:t>
            </w:r>
            <w:r>
              <w:rPr>
                <w:b/>
                <w:bCs/>
                <w:spacing w:val="8"/>
              </w:rPr>
              <w:t>非经营性资金占用</w:t>
            </w:r>
            <w:r>
              <w:rPr>
                <w:spacing w:val="8"/>
              </w:rPr>
              <w:t>。</w:t>
            </w:r>
          </w:p>
        </w:tc>
      </w:tr>
      <w:tr>
        <w:trPr>
          <w:trHeight w:val="725" w:hRule="atLeast"/>
        </w:trPr>
        <w:tc>
          <w:tcPr>
            <w:shd w:val="clear" w:fill="C7DAF1"/>
            <w:tcW w:w="1077" w:type="dxa"/>
            <w:vAlign w:val="top"/>
          </w:tcPr>
          <w:p>
            <w:pPr>
              <w:pStyle w:val="TableText"/>
              <w:ind w:left="176"/>
              <w:spacing w:before="282" w:line="178" w:lineRule="auto"/>
              <w:rPr/>
            </w:pPr>
            <w:r>
              <w:rPr>
                <w:spacing w:val="3"/>
              </w:rPr>
              <w:t>000638</w:t>
            </w:r>
          </w:p>
        </w:tc>
        <w:tc>
          <w:tcPr>
            <w:shd w:val="clear" w:fill="C7DAF1"/>
            <w:tcW w:w="1449" w:type="dxa"/>
            <w:vAlign w:val="top"/>
          </w:tcPr>
          <w:p>
            <w:pPr>
              <w:pStyle w:val="TableText"/>
              <w:ind w:left="303"/>
              <w:spacing w:before="267" w:line="189" w:lineRule="auto"/>
              <w:rPr/>
            </w:pPr>
            <w:r>
              <w:rPr>
                <w:spacing w:val="8"/>
              </w:rPr>
              <w:t>万方发展</w:t>
            </w:r>
          </w:p>
        </w:tc>
        <w:tc>
          <w:tcPr>
            <w:shd w:val="clear" w:fill="C7DAF1"/>
            <w:tcW w:w="1257" w:type="dxa"/>
            <w:vAlign w:val="top"/>
          </w:tcPr>
          <w:p>
            <w:pPr>
              <w:pStyle w:val="TableText"/>
              <w:ind w:left="209"/>
              <w:spacing w:before="270" w:line="187" w:lineRule="auto"/>
              <w:rPr/>
            </w:pPr>
            <w:r>
              <w:rPr>
                <w:spacing w:val="8"/>
              </w:rPr>
              <w:t>公开谴责</w:t>
            </w:r>
          </w:p>
        </w:tc>
        <w:tc>
          <w:tcPr>
            <w:shd w:val="clear" w:fill="C7DAF1"/>
            <w:tcW w:w="5419" w:type="dxa"/>
            <w:vAlign w:val="top"/>
          </w:tcPr>
          <w:p>
            <w:pPr>
              <w:pStyle w:val="TableText"/>
              <w:ind w:left="109" w:right="269" w:firstLine="2"/>
              <w:spacing w:before="85" w:line="220" w:lineRule="auto"/>
              <w:rPr/>
            </w:pPr>
            <w:r>
              <w:rPr>
                <w:spacing w:val="7"/>
              </w:rPr>
              <w:t>司法判决若履行完毕， 可能导致万方发展</w:t>
            </w:r>
            <w:r>
              <w:rPr>
                <w:b/>
                <w:bCs/>
                <w:spacing w:val="7"/>
              </w:rPr>
              <w:t>控股</w:t>
            </w:r>
            <w:r>
              <w:rPr>
                <w:b/>
                <w:bCs/>
                <w:spacing w:val="6"/>
              </w:rPr>
              <w:t>股东发生</w:t>
            </w:r>
            <w:r>
              <w:rPr>
                <w:b/>
                <w:bCs/>
              </w:rPr>
              <w:t xml:space="preserve"> </w:t>
            </w:r>
            <w:r>
              <w:rPr>
                <w:b/>
                <w:bCs/>
                <w:spacing w:val="8"/>
              </w:rPr>
              <w:t>变更</w:t>
            </w:r>
            <w:r>
              <w:rPr>
                <w:spacing w:val="8"/>
              </w:rPr>
              <w:t>但未及时披露。</w:t>
            </w:r>
          </w:p>
        </w:tc>
      </w:tr>
      <w:tr>
        <w:trPr>
          <w:trHeight w:val="726" w:hRule="atLeast"/>
        </w:trPr>
        <w:tc>
          <w:tcPr>
            <w:tcW w:w="1077" w:type="dxa"/>
            <w:vAlign w:val="top"/>
          </w:tcPr>
          <w:p>
            <w:pPr>
              <w:pStyle w:val="TableText"/>
              <w:ind w:left="176"/>
              <w:spacing w:before="282" w:line="178" w:lineRule="auto"/>
              <w:rPr/>
            </w:pPr>
            <w:r>
              <w:rPr>
                <w:spacing w:val="3"/>
              </w:rPr>
              <w:t>000638</w:t>
            </w:r>
          </w:p>
        </w:tc>
        <w:tc>
          <w:tcPr>
            <w:tcW w:w="1449" w:type="dxa"/>
            <w:vAlign w:val="top"/>
          </w:tcPr>
          <w:p>
            <w:pPr>
              <w:pStyle w:val="TableText"/>
              <w:ind w:left="303"/>
              <w:spacing w:before="267" w:line="189" w:lineRule="auto"/>
              <w:rPr/>
            </w:pPr>
            <w:r>
              <w:rPr>
                <w:spacing w:val="8"/>
              </w:rPr>
              <w:t>万方发展</w:t>
            </w:r>
          </w:p>
        </w:tc>
        <w:tc>
          <w:tcPr>
            <w:tcW w:w="1257" w:type="dxa"/>
            <w:vAlign w:val="top"/>
          </w:tcPr>
          <w:p>
            <w:pPr>
              <w:pStyle w:val="TableText"/>
              <w:ind w:left="209"/>
              <w:spacing w:before="268" w:line="188" w:lineRule="auto"/>
              <w:rPr/>
            </w:pPr>
            <w:r>
              <w:rPr>
                <w:spacing w:val="8"/>
              </w:rPr>
              <w:t>通报批评</w:t>
            </w:r>
          </w:p>
        </w:tc>
        <w:tc>
          <w:tcPr>
            <w:tcW w:w="5419" w:type="dxa"/>
            <w:vAlign w:val="top"/>
          </w:tcPr>
          <w:p>
            <w:pPr>
              <w:pStyle w:val="TableText"/>
              <w:ind w:left="109" w:right="269" w:firstLine="2"/>
              <w:spacing w:before="86" w:line="220" w:lineRule="auto"/>
              <w:rPr/>
            </w:pPr>
            <w:r>
              <w:rPr>
                <w:spacing w:val="7"/>
              </w:rPr>
              <w:t>司法判决若履行完毕， 可能导致万方发展</w:t>
            </w:r>
            <w:r>
              <w:rPr>
                <w:b/>
                <w:bCs/>
                <w:spacing w:val="7"/>
              </w:rPr>
              <w:t>控股</w:t>
            </w:r>
            <w:r>
              <w:rPr>
                <w:b/>
                <w:bCs/>
                <w:spacing w:val="6"/>
              </w:rPr>
              <w:t>股东发生</w:t>
            </w:r>
            <w:r>
              <w:rPr>
                <w:b/>
                <w:bCs/>
              </w:rPr>
              <w:t xml:space="preserve"> </w:t>
            </w:r>
            <w:r>
              <w:rPr>
                <w:b/>
                <w:bCs/>
                <w:spacing w:val="8"/>
              </w:rPr>
              <w:t>变更</w:t>
            </w:r>
            <w:r>
              <w:rPr>
                <w:spacing w:val="8"/>
              </w:rPr>
              <w:t>但未及时披露。</w:t>
            </w:r>
          </w:p>
        </w:tc>
      </w:tr>
      <w:tr>
        <w:trPr>
          <w:trHeight w:val="1085" w:hRule="atLeast"/>
        </w:trPr>
        <w:tc>
          <w:tcPr>
            <w:shd w:val="clear" w:fill="C7DAF1"/>
            <w:tcW w:w="1077" w:type="dxa"/>
            <w:vAlign w:val="top"/>
          </w:tcPr>
          <w:p>
            <w:pPr>
              <w:spacing w:line="373" w:lineRule="auto"/>
              <w:rPr>
                <w:rFonts w:ascii="Arial"/>
                <w:sz w:val="21"/>
              </w:rPr>
            </w:pPr>
            <w:r/>
          </w:p>
          <w:p>
            <w:pPr>
              <w:pStyle w:val="TableText"/>
              <w:ind w:left="181"/>
              <w:spacing w:before="86" w:line="179" w:lineRule="auto"/>
              <w:rPr/>
            </w:pPr>
            <w:r>
              <w:rPr>
                <w:spacing w:val="3"/>
              </w:rPr>
              <w:t>300651</w:t>
            </w:r>
          </w:p>
        </w:tc>
        <w:tc>
          <w:tcPr>
            <w:shd w:val="clear" w:fill="C7DAF1"/>
            <w:tcW w:w="1449" w:type="dxa"/>
            <w:vAlign w:val="top"/>
          </w:tcPr>
          <w:p>
            <w:pPr>
              <w:spacing w:line="360" w:lineRule="auto"/>
              <w:rPr>
                <w:rFonts w:ascii="Arial"/>
                <w:sz w:val="21"/>
              </w:rPr>
            </w:pPr>
            <w:r/>
          </w:p>
          <w:p>
            <w:pPr>
              <w:pStyle w:val="TableText"/>
              <w:ind w:left="301"/>
              <w:spacing w:before="86" w:line="189" w:lineRule="auto"/>
              <w:rPr/>
            </w:pPr>
            <w:r>
              <w:rPr>
                <w:spacing w:val="9"/>
              </w:rPr>
              <w:t>金陵体育</w:t>
            </w:r>
          </w:p>
        </w:tc>
        <w:tc>
          <w:tcPr>
            <w:shd w:val="clear" w:fill="C7DAF1"/>
            <w:tcW w:w="1257" w:type="dxa"/>
            <w:vAlign w:val="top"/>
          </w:tcPr>
          <w:p>
            <w:pPr>
              <w:spacing w:line="363" w:lineRule="auto"/>
              <w:rPr>
                <w:rFonts w:ascii="Arial"/>
                <w:sz w:val="21"/>
              </w:rPr>
            </w:pPr>
            <w:r/>
          </w:p>
          <w:p>
            <w:pPr>
              <w:pStyle w:val="TableText"/>
              <w:ind w:left="209"/>
              <w:spacing w:before="86" w:line="187" w:lineRule="auto"/>
              <w:rPr/>
            </w:pPr>
            <w:r>
              <w:rPr>
                <w:spacing w:val="8"/>
              </w:rPr>
              <w:t>公开谴责</w:t>
            </w:r>
          </w:p>
        </w:tc>
        <w:tc>
          <w:tcPr>
            <w:shd w:val="clear" w:fill="C7DAF1"/>
            <w:tcW w:w="5419" w:type="dxa"/>
            <w:vAlign w:val="top"/>
          </w:tcPr>
          <w:p>
            <w:pPr>
              <w:pStyle w:val="TableText"/>
              <w:ind w:left="108" w:right="154" w:firstLine="1"/>
              <w:spacing w:before="49" w:line="239" w:lineRule="auto"/>
              <w:jc w:val="both"/>
              <w:rPr/>
            </w:pPr>
            <w:r>
              <w:rPr>
                <w:spacing w:val="9"/>
              </w:rPr>
              <w:t>持股5%以上股东、实际控制人之一实际持有金陵体育有</w:t>
            </w:r>
            <w:r>
              <w:rPr>
                <w:spacing w:val="11"/>
              </w:rPr>
              <w:t xml:space="preserve"> </w:t>
            </w:r>
            <w:r>
              <w:rPr>
                <w:spacing w:val="9"/>
              </w:rPr>
              <w:t>表决权的股份比例增加量始终维持在</w:t>
            </w:r>
            <w:r>
              <w:rPr>
                <w:b/>
                <w:bCs/>
                <w:spacing w:val="9"/>
              </w:rPr>
              <w:t>1%以上</w:t>
            </w:r>
            <w:r>
              <w:rPr>
                <w:spacing w:val="9"/>
              </w:rPr>
              <w:t>未通知金陵</w:t>
            </w:r>
            <w:r>
              <w:rPr>
                <w:spacing w:val="15"/>
              </w:rPr>
              <w:t xml:space="preserve"> </w:t>
            </w:r>
            <w:r>
              <w:rPr>
                <w:spacing w:val="3"/>
              </w:rPr>
              <w:t>体育予以公告； </w:t>
            </w:r>
            <w:r>
              <w:rPr>
                <w:b/>
                <w:bCs/>
                <w:spacing w:val="3"/>
              </w:rPr>
              <w:t>短线交易</w:t>
            </w:r>
            <w:r>
              <w:rPr>
                <w:spacing w:val="3"/>
              </w:rPr>
              <w:t>。</w:t>
            </w:r>
          </w:p>
        </w:tc>
      </w:tr>
      <w:tr>
        <w:trPr>
          <w:trHeight w:val="1445" w:hRule="atLeast"/>
        </w:trPr>
        <w:tc>
          <w:tcPr>
            <w:tcW w:w="1077" w:type="dxa"/>
            <w:vAlign w:val="top"/>
          </w:tcPr>
          <w:p>
            <w:pPr>
              <w:spacing w:line="276" w:lineRule="auto"/>
              <w:rPr>
                <w:rFonts w:ascii="Arial"/>
                <w:sz w:val="21"/>
              </w:rPr>
            </w:pPr>
            <w:r/>
          </w:p>
          <w:p>
            <w:pPr>
              <w:spacing w:line="276" w:lineRule="auto"/>
              <w:rPr>
                <w:rFonts w:ascii="Arial"/>
                <w:sz w:val="21"/>
              </w:rPr>
            </w:pPr>
            <w:r/>
          </w:p>
          <w:p>
            <w:pPr>
              <w:pStyle w:val="TableText"/>
              <w:ind w:left="176"/>
              <w:spacing w:before="85" w:line="179" w:lineRule="auto"/>
              <w:rPr/>
            </w:pPr>
            <w:r>
              <w:rPr>
                <w:spacing w:val="3"/>
              </w:rPr>
              <w:t>002310</w:t>
            </w:r>
          </w:p>
        </w:tc>
        <w:tc>
          <w:tcPr>
            <w:tcW w:w="1449" w:type="dxa"/>
            <w:vAlign w:val="top"/>
          </w:tcPr>
          <w:p>
            <w:pPr>
              <w:spacing w:line="269" w:lineRule="auto"/>
              <w:rPr>
                <w:rFonts w:ascii="Arial"/>
                <w:sz w:val="21"/>
              </w:rPr>
            </w:pPr>
            <w:r/>
          </w:p>
          <w:p>
            <w:pPr>
              <w:spacing w:line="269" w:lineRule="auto"/>
              <w:rPr>
                <w:rFonts w:ascii="Arial"/>
                <w:sz w:val="21"/>
              </w:rPr>
            </w:pPr>
            <w:r/>
          </w:p>
          <w:p>
            <w:pPr>
              <w:pStyle w:val="TableText"/>
              <w:ind w:left="351"/>
              <w:spacing w:before="86" w:line="189" w:lineRule="auto"/>
              <w:rPr/>
            </w:pPr>
            <w:r>
              <w:rPr>
                <w:spacing w:val="8"/>
              </w:rPr>
              <w:t>*</w:t>
            </w:r>
            <w:r>
              <w:rPr/>
              <w:t>ST</w:t>
            </w:r>
            <w:r>
              <w:rPr>
                <w:spacing w:val="8"/>
              </w:rPr>
              <w:t>东园</w:t>
            </w:r>
          </w:p>
        </w:tc>
        <w:tc>
          <w:tcPr>
            <w:tcW w:w="1257" w:type="dxa"/>
            <w:vAlign w:val="top"/>
          </w:tcPr>
          <w:p>
            <w:pPr>
              <w:spacing w:line="270" w:lineRule="auto"/>
              <w:rPr>
                <w:rFonts w:ascii="Arial"/>
                <w:sz w:val="21"/>
              </w:rPr>
            </w:pPr>
            <w:r/>
          </w:p>
          <w:p>
            <w:pPr>
              <w:spacing w:line="270" w:lineRule="auto"/>
              <w:rPr>
                <w:rFonts w:ascii="Arial"/>
                <w:sz w:val="21"/>
              </w:rPr>
            </w:pPr>
            <w:r/>
          </w:p>
          <w:p>
            <w:pPr>
              <w:pStyle w:val="TableText"/>
              <w:ind w:left="209"/>
              <w:spacing w:before="86" w:line="188" w:lineRule="auto"/>
              <w:rPr/>
            </w:pPr>
            <w:r>
              <w:rPr>
                <w:spacing w:val="8"/>
              </w:rPr>
              <w:t>通报批评</w:t>
            </w:r>
          </w:p>
        </w:tc>
        <w:tc>
          <w:tcPr>
            <w:tcW w:w="5419" w:type="dxa"/>
            <w:vAlign w:val="top"/>
          </w:tcPr>
          <w:p>
            <w:pPr>
              <w:pStyle w:val="TableText"/>
              <w:ind w:left="108" w:right="197"/>
              <w:spacing w:before="50" w:line="242" w:lineRule="auto"/>
              <w:jc w:val="both"/>
              <w:rPr/>
            </w:pPr>
            <w:r>
              <w:rPr>
                <w:spacing w:val="7"/>
              </w:rPr>
              <w:t>公司在首次披露的《</w:t>
            </w:r>
            <w:r>
              <w:rPr>
                <w:spacing w:val="-33"/>
              </w:rPr>
              <w:t xml:space="preserve"> </w:t>
            </w:r>
            <w:r>
              <w:rPr>
                <w:spacing w:val="7"/>
              </w:rPr>
              <w:t>2023年度</w:t>
            </w:r>
            <w:r>
              <w:rPr>
                <w:b/>
                <w:bCs/>
                <w:spacing w:val="7"/>
              </w:rPr>
              <w:t>业绩预告</w:t>
            </w:r>
            <w:r>
              <w:rPr>
                <w:spacing w:val="7"/>
              </w:rPr>
              <w:t>》</w:t>
            </w:r>
            <w:r>
              <w:rPr>
                <w:spacing w:val="-31"/>
              </w:rPr>
              <w:t xml:space="preserve"> </w:t>
            </w:r>
            <w:r>
              <w:rPr>
                <w:spacing w:val="7"/>
              </w:rPr>
              <w:t>中未准确预计</w:t>
            </w:r>
            <w:r>
              <w:rPr/>
              <w:t xml:space="preserve"> </w:t>
            </w:r>
            <w:r>
              <w:rPr>
                <w:spacing w:val="7"/>
              </w:rPr>
              <w:t>净资产为负值的情形， 且未在会计年度结束后一个月内</w:t>
            </w:r>
            <w:r>
              <w:rPr/>
              <w:t xml:space="preserve">  </w:t>
            </w:r>
            <w:r>
              <w:rPr>
                <w:spacing w:val="9"/>
              </w:rPr>
              <w:t>披露公司股票交易</w:t>
            </w:r>
            <w:r>
              <w:rPr>
                <w:b/>
                <w:bCs/>
                <w:spacing w:val="9"/>
              </w:rPr>
              <w:t>可能被实施退市风险警示</w:t>
            </w:r>
            <w:r>
              <w:rPr>
                <w:spacing w:val="9"/>
              </w:rPr>
              <w:t>的风险提示  </w:t>
            </w:r>
            <w:r>
              <w:rPr>
                <w:spacing w:val="5"/>
              </w:rPr>
              <w:t>公告。</w:t>
            </w:r>
          </w:p>
        </w:tc>
      </w:tr>
      <w:tr>
        <w:trPr>
          <w:trHeight w:val="1086" w:hRule="atLeast"/>
        </w:trPr>
        <w:tc>
          <w:tcPr>
            <w:shd w:val="clear" w:fill="C7DAF1"/>
            <w:tcW w:w="1077" w:type="dxa"/>
            <w:vAlign w:val="top"/>
          </w:tcPr>
          <w:p>
            <w:pPr>
              <w:spacing w:line="376" w:lineRule="auto"/>
              <w:rPr>
                <w:rFonts w:ascii="Arial"/>
                <w:sz w:val="21"/>
              </w:rPr>
            </w:pPr>
            <w:r/>
          </w:p>
          <w:p>
            <w:pPr>
              <w:pStyle w:val="TableText"/>
              <w:ind w:left="176"/>
              <w:spacing w:before="86" w:line="178" w:lineRule="auto"/>
              <w:rPr/>
            </w:pPr>
            <w:r>
              <w:rPr>
                <w:spacing w:val="3"/>
              </w:rPr>
              <w:t>000809</w:t>
            </w:r>
          </w:p>
        </w:tc>
        <w:tc>
          <w:tcPr>
            <w:shd w:val="clear" w:fill="C7DAF1"/>
            <w:tcW w:w="1449" w:type="dxa"/>
            <w:vAlign w:val="top"/>
          </w:tcPr>
          <w:p>
            <w:pPr>
              <w:spacing w:line="369" w:lineRule="auto"/>
              <w:rPr>
                <w:rFonts w:ascii="Arial"/>
                <w:sz w:val="21"/>
              </w:rPr>
            </w:pPr>
            <w:r/>
          </w:p>
          <w:p>
            <w:pPr>
              <w:pStyle w:val="TableText"/>
              <w:ind w:left="351"/>
              <w:spacing w:before="85" w:line="184" w:lineRule="auto"/>
              <w:rPr/>
            </w:pPr>
            <w:r>
              <w:rPr>
                <w:spacing w:val="8"/>
              </w:rPr>
              <w:t>*</w:t>
            </w:r>
            <w:r>
              <w:rPr/>
              <w:t>ST</w:t>
            </w:r>
            <w:r>
              <w:rPr>
                <w:spacing w:val="8"/>
              </w:rPr>
              <w:t>和展</w:t>
            </w:r>
          </w:p>
        </w:tc>
        <w:tc>
          <w:tcPr>
            <w:shd w:val="clear" w:fill="C7DAF1"/>
            <w:tcW w:w="1257" w:type="dxa"/>
            <w:vAlign w:val="top"/>
          </w:tcPr>
          <w:p>
            <w:pPr>
              <w:spacing w:line="363" w:lineRule="auto"/>
              <w:rPr>
                <w:rFonts w:ascii="Arial"/>
                <w:sz w:val="21"/>
              </w:rPr>
            </w:pPr>
            <w:r/>
          </w:p>
          <w:p>
            <w:pPr>
              <w:pStyle w:val="TableText"/>
              <w:ind w:left="209"/>
              <w:spacing w:before="86" w:line="188" w:lineRule="auto"/>
              <w:rPr/>
            </w:pPr>
            <w:r>
              <w:rPr>
                <w:spacing w:val="8"/>
              </w:rPr>
              <w:t>通报批评</w:t>
            </w:r>
          </w:p>
        </w:tc>
        <w:tc>
          <w:tcPr>
            <w:shd w:val="clear" w:fill="C7DAF1"/>
            <w:tcW w:w="5419" w:type="dxa"/>
            <w:vAlign w:val="top"/>
          </w:tcPr>
          <w:p>
            <w:pPr>
              <w:pStyle w:val="TableText"/>
              <w:ind w:left="108" w:right="269"/>
              <w:spacing w:before="89" w:line="230" w:lineRule="auto"/>
              <w:jc w:val="both"/>
              <w:rPr/>
            </w:pPr>
            <w:r>
              <w:rPr>
                <w:spacing w:val="7"/>
              </w:rPr>
              <w:t>公司</w:t>
            </w:r>
            <w:r>
              <w:rPr>
                <w:b/>
                <w:bCs/>
                <w:spacing w:val="7"/>
              </w:rPr>
              <w:t>业绩预告</w:t>
            </w:r>
            <w:r>
              <w:rPr>
                <w:spacing w:val="7"/>
              </w:rPr>
              <w:t>不准确， 且未在会计年度结束后一个月内</w:t>
            </w:r>
            <w:r>
              <w:rPr/>
              <w:t xml:space="preserve"> </w:t>
            </w:r>
            <w:r>
              <w:rPr>
                <w:spacing w:val="9"/>
              </w:rPr>
              <w:t>披露公司股票交易</w:t>
            </w:r>
            <w:r>
              <w:rPr>
                <w:b/>
                <w:bCs/>
                <w:spacing w:val="9"/>
              </w:rPr>
              <w:t>可能被实施退市风险警示</w:t>
            </w:r>
            <w:r>
              <w:rPr>
                <w:spacing w:val="9"/>
              </w:rPr>
              <w:t>的风险提示</w:t>
            </w:r>
            <w:r>
              <w:rPr>
                <w:spacing w:val="18"/>
              </w:rPr>
              <w:t xml:space="preserve"> </w:t>
            </w:r>
            <w:r>
              <w:rPr>
                <w:spacing w:val="5"/>
              </w:rPr>
              <w:t>公告。</w:t>
            </w:r>
          </w:p>
        </w:tc>
      </w:tr>
      <w:tr>
        <w:trPr>
          <w:trHeight w:val="1445" w:hRule="atLeast"/>
        </w:trPr>
        <w:tc>
          <w:tcPr>
            <w:tcW w:w="1077" w:type="dxa"/>
            <w:vAlign w:val="top"/>
          </w:tcPr>
          <w:p>
            <w:pPr>
              <w:spacing w:line="277" w:lineRule="auto"/>
              <w:rPr>
                <w:rFonts w:ascii="Arial"/>
                <w:sz w:val="21"/>
              </w:rPr>
            </w:pPr>
            <w:r/>
          </w:p>
          <w:p>
            <w:pPr>
              <w:spacing w:line="277" w:lineRule="auto"/>
              <w:rPr>
                <w:rFonts w:ascii="Arial"/>
                <w:sz w:val="21"/>
              </w:rPr>
            </w:pPr>
            <w:r/>
          </w:p>
          <w:p>
            <w:pPr>
              <w:pStyle w:val="TableText"/>
              <w:ind w:left="176"/>
              <w:spacing w:before="85" w:line="178" w:lineRule="auto"/>
              <w:rPr/>
            </w:pPr>
            <w:r>
              <w:rPr>
                <w:spacing w:val="3"/>
              </w:rPr>
              <w:t>002252</w:t>
            </w:r>
          </w:p>
        </w:tc>
        <w:tc>
          <w:tcPr>
            <w:tcW w:w="1449" w:type="dxa"/>
            <w:vAlign w:val="top"/>
          </w:tcPr>
          <w:p>
            <w:pPr>
              <w:spacing w:line="269" w:lineRule="auto"/>
              <w:rPr>
                <w:rFonts w:ascii="Arial"/>
                <w:sz w:val="21"/>
              </w:rPr>
            </w:pPr>
            <w:r/>
          </w:p>
          <w:p>
            <w:pPr>
              <w:spacing w:line="270" w:lineRule="auto"/>
              <w:rPr>
                <w:rFonts w:ascii="Arial"/>
                <w:sz w:val="21"/>
              </w:rPr>
            </w:pPr>
            <w:r/>
          </w:p>
          <w:p>
            <w:pPr>
              <w:pStyle w:val="TableText"/>
              <w:ind w:left="304"/>
              <w:spacing w:before="86" w:line="189" w:lineRule="auto"/>
              <w:rPr/>
            </w:pPr>
            <w:r>
              <w:rPr>
                <w:spacing w:val="8"/>
              </w:rPr>
              <w:t>上海莱士</w:t>
            </w:r>
          </w:p>
        </w:tc>
        <w:tc>
          <w:tcPr>
            <w:tcW w:w="1257" w:type="dxa"/>
            <w:vAlign w:val="top"/>
          </w:tcPr>
          <w:p>
            <w:pPr>
              <w:spacing w:line="270" w:lineRule="auto"/>
              <w:rPr>
                <w:rFonts w:ascii="Arial"/>
                <w:sz w:val="21"/>
              </w:rPr>
            </w:pPr>
            <w:r/>
          </w:p>
          <w:p>
            <w:pPr>
              <w:spacing w:line="270" w:lineRule="auto"/>
              <w:rPr>
                <w:rFonts w:ascii="Arial"/>
                <w:sz w:val="21"/>
              </w:rPr>
            </w:pPr>
            <w:r/>
          </w:p>
          <w:p>
            <w:pPr>
              <w:pStyle w:val="TableText"/>
              <w:ind w:left="209"/>
              <w:spacing w:before="86" w:line="188" w:lineRule="auto"/>
              <w:rPr/>
            </w:pPr>
            <w:r>
              <w:rPr>
                <w:spacing w:val="8"/>
              </w:rPr>
              <w:t>通报批评</w:t>
            </w:r>
          </w:p>
        </w:tc>
        <w:tc>
          <w:tcPr>
            <w:tcW w:w="5419" w:type="dxa"/>
            <w:vAlign w:val="top"/>
          </w:tcPr>
          <w:p>
            <w:pPr>
              <w:pStyle w:val="TableText"/>
              <w:ind w:left="107" w:right="269"/>
              <w:spacing w:before="45" w:line="243" w:lineRule="auto"/>
              <w:rPr/>
            </w:pPr>
            <w:r>
              <w:rPr>
                <w:spacing w:val="6"/>
              </w:rPr>
              <w:t>原持股5%以上股东</w:t>
            </w:r>
            <w:r>
              <w:rPr>
                <w:b/>
                <w:bCs/>
                <w:spacing w:val="6"/>
              </w:rPr>
              <w:t>首次变动比例达到5%</w:t>
            </w:r>
            <w:r>
              <w:rPr>
                <w:spacing w:val="6"/>
              </w:rPr>
              <w:t>后， 未按照</w:t>
            </w:r>
            <w:r>
              <w:rPr>
                <w:spacing w:val="4"/>
              </w:rPr>
              <w:t xml:space="preserve">    </w:t>
            </w:r>
            <w:r>
              <w:rPr>
                <w:spacing w:val="9"/>
              </w:rPr>
              <w:t>《上市公司收购管理办法》的规定及时履行报告、公告</w:t>
            </w:r>
            <w:r>
              <w:rPr>
                <w:spacing w:val="18"/>
                <w:w w:val="101"/>
              </w:rPr>
              <w:t xml:space="preserve"> </w:t>
            </w:r>
            <w:r>
              <w:rPr>
                <w:spacing w:val="7"/>
              </w:rPr>
              <w:t>义务， 此后</w:t>
            </w:r>
            <w:r>
              <w:rPr>
                <w:b/>
                <w:bCs/>
                <w:spacing w:val="7"/>
              </w:rPr>
              <w:t>继续通过</w:t>
            </w:r>
            <w:r>
              <w:rPr>
                <w:spacing w:val="7"/>
              </w:rPr>
              <w:t>司法处置、集中竞价等方式</w:t>
            </w:r>
            <w:r>
              <w:rPr>
                <w:b/>
                <w:bCs/>
                <w:spacing w:val="7"/>
              </w:rPr>
              <w:t>减持</w:t>
            </w:r>
            <w:r>
              <w:rPr>
                <w:spacing w:val="7"/>
              </w:rPr>
              <w:t>上</w:t>
            </w:r>
            <w:r>
              <w:rPr/>
              <w:t xml:space="preserve"> </w:t>
            </w:r>
            <w:r>
              <w:rPr>
                <w:spacing w:val="7"/>
              </w:rPr>
              <w:t>海莱士股份。</w:t>
            </w:r>
          </w:p>
        </w:tc>
      </w:tr>
      <w:tr>
        <w:trPr>
          <w:trHeight w:val="611" w:hRule="atLeast"/>
        </w:trPr>
        <w:tc>
          <w:tcPr>
            <w:shd w:val="clear" w:fill="C7DAF1"/>
            <w:tcW w:w="1077" w:type="dxa"/>
            <w:vAlign w:val="top"/>
          </w:tcPr>
          <w:p>
            <w:pPr>
              <w:pStyle w:val="TableText"/>
              <w:ind w:left="176"/>
              <w:spacing w:before="226" w:line="179" w:lineRule="auto"/>
              <w:rPr/>
            </w:pPr>
            <w:r>
              <w:rPr>
                <w:spacing w:val="3"/>
              </w:rPr>
              <w:t>002159</w:t>
            </w:r>
          </w:p>
        </w:tc>
        <w:tc>
          <w:tcPr>
            <w:shd w:val="clear" w:fill="C7DAF1"/>
            <w:tcW w:w="1449" w:type="dxa"/>
            <w:vAlign w:val="top"/>
          </w:tcPr>
          <w:p>
            <w:pPr>
              <w:pStyle w:val="TableText"/>
              <w:ind w:left="305"/>
              <w:spacing w:before="212" w:line="189" w:lineRule="auto"/>
              <w:rPr/>
            </w:pPr>
            <w:r>
              <w:rPr>
                <w:spacing w:val="7"/>
              </w:rPr>
              <w:t>三特索道</w:t>
            </w:r>
          </w:p>
        </w:tc>
        <w:tc>
          <w:tcPr>
            <w:shd w:val="clear" w:fill="C7DAF1"/>
            <w:tcW w:w="1257" w:type="dxa"/>
            <w:vAlign w:val="top"/>
          </w:tcPr>
          <w:p>
            <w:pPr>
              <w:pStyle w:val="TableText"/>
              <w:ind w:left="209"/>
              <w:spacing w:before="214" w:line="188" w:lineRule="auto"/>
              <w:rPr/>
            </w:pPr>
            <w:r>
              <w:rPr>
                <w:spacing w:val="8"/>
              </w:rPr>
              <w:t>通报批评</w:t>
            </w:r>
          </w:p>
        </w:tc>
        <w:tc>
          <w:tcPr>
            <w:shd w:val="clear" w:fill="C7DAF1"/>
            <w:tcW w:w="5419" w:type="dxa"/>
            <w:vAlign w:val="top"/>
          </w:tcPr>
          <w:p>
            <w:pPr>
              <w:pStyle w:val="TableText"/>
              <w:ind w:left="112"/>
              <w:spacing w:before="211" w:line="190" w:lineRule="auto"/>
              <w:rPr/>
            </w:pPr>
            <w:r>
              <w:rPr>
                <w:spacing w:val="9"/>
              </w:rPr>
              <w:t>卡沃旅游未按照公开披露的信息履行</w:t>
            </w:r>
            <w:r>
              <w:rPr>
                <w:b/>
                <w:bCs/>
                <w:spacing w:val="9"/>
              </w:rPr>
              <w:t>业绩补偿承诺。</w:t>
            </w:r>
          </w:p>
        </w:tc>
      </w:tr>
      <w:tr>
        <w:trPr>
          <w:trHeight w:val="729" w:hRule="atLeast"/>
        </w:trPr>
        <w:tc>
          <w:tcPr>
            <w:tcW w:w="1077" w:type="dxa"/>
            <w:vAlign w:val="top"/>
          </w:tcPr>
          <w:p>
            <w:pPr>
              <w:pStyle w:val="TableText"/>
              <w:ind w:left="176"/>
              <w:spacing w:before="282" w:line="179" w:lineRule="auto"/>
              <w:rPr/>
            </w:pPr>
            <w:r>
              <w:rPr>
                <w:spacing w:val="3"/>
              </w:rPr>
              <w:t>002107</w:t>
            </w:r>
          </w:p>
        </w:tc>
        <w:tc>
          <w:tcPr>
            <w:tcW w:w="1449" w:type="dxa"/>
            <w:vAlign w:val="top"/>
          </w:tcPr>
          <w:p>
            <w:pPr>
              <w:pStyle w:val="TableText"/>
              <w:ind w:left="302"/>
              <w:spacing w:before="269" w:line="189" w:lineRule="auto"/>
              <w:rPr/>
            </w:pPr>
            <w:r>
              <w:rPr>
                <w:spacing w:val="8"/>
              </w:rPr>
              <w:t>沃华医药</w:t>
            </w:r>
          </w:p>
        </w:tc>
        <w:tc>
          <w:tcPr>
            <w:tcW w:w="1257" w:type="dxa"/>
            <w:vAlign w:val="top"/>
          </w:tcPr>
          <w:p>
            <w:pPr>
              <w:pStyle w:val="TableText"/>
              <w:ind w:left="209"/>
              <w:spacing w:before="270" w:line="188" w:lineRule="auto"/>
              <w:rPr/>
            </w:pPr>
            <w:r>
              <w:rPr>
                <w:spacing w:val="8"/>
              </w:rPr>
              <w:t>通报批评</w:t>
            </w:r>
          </w:p>
        </w:tc>
        <w:tc>
          <w:tcPr>
            <w:tcW w:w="5419" w:type="dxa"/>
            <w:vAlign w:val="top"/>
          </w:tcPr>
          <w:p>
            <w:pPr>
              <w:pStyle w:val="TableText"/>
              <w:ind w:left="108" w:right="269"/>
              <w:spacing w:before="89" w:line="220" w:lineRule="auto"/>
              <w:rPr/>
            </w:pPr>
            <w:r>
              <w:rPr>
                <w:spacing w:val="9"/>
              </w:rPr>
              <w:t>公司实际控制人、董事长因涉嫌职务违法犯罪</w:t>
            </w:r>
            <w:r>
              <w:rPr>
                <w:b/>
                <w:bCs/>
                <w:spacing w:val="9"/>
              </w:rPr>
              <w:t>被实施留</w:t>
            </w:r>
            <w:r>
              <w:rPr>
                <w:b/>
                <w:bCs/>
                <w:spacing w:val="18"/>
              </w:rPr>
              <w:t xml:space="preserve"> </w:t>
            </w:r>
            <w:r>
              <w:rPr>
                <w:b/>
                <w:bCs/>
                <w:spacing w:val="7"/>
              </w:rPr>
              <w:t>置</w:t>
            </w:r>
            <w:r>
              <w:rPr>
                <w:spacing w:val="7"/>
              </w:rPr>
              <w:t>未及时披露。</w:t>
            </w:r>
          </w:p>
        </w:tc>
      </w:tr>
    </w:tbl>
    <w:p>
      <w:pPr>
        <w:pStyle w:val="BodyText"/>
        <w:rPr/>
      </w:pPr>
      <w:r/>
    </w:p>
    <w:p>
      <w:pPr>
        <w:sectPr>
          <w:pgSz w:w="11910" w:h="16840"/>
          <w:pgMar w:top="400" w:right="1451" w:bottom="0" w:left="1251" w:header="0" w:footer="0" w:gutter="0"/>
        </w:sectPr>
        <w:rPr/>
      </w:pPr>
    </w:p>
    <w:p>
      <w:pPr>
        <w:ind w:left="316"/>
        <w:spacing w:before="47"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（2） 问询函件</w:t>
      </w:r>
    </w:p>
    <w:p>
      <w:pPr>
        <w:ind w:left="492"/>
        <w:spacing w:before="148"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rPr>
        <w:t>2024 年 7 月 29</w:t>
      </w:r>
      <w:r>
        <w:rPr>
          <w:rFonts w:ascii="Microsoft YaHei" w:hAnsi="Microsoft YaHei" w:eastAsia="Microsoft YaHei" w:cs="Microsoft YaHei"/>
          <w:sz w:val="24"/>
          <w:szCs w:val="24"/>
          <w:spacing w:val="27"/>
        </w:rPr>
        <w:t xml:space="preserve"> </w:t>
      </w:r>
      <w:r>
        <w:rPr>
          <w:rFonts w:ascii="Microsoft YaHei" w:hAnsi="Microsoft YaHei" w:eastAsia="Microsoft YaHei" w:cs="Microsoft YaHei"/>
          <w:sz w:val="24"/>
          <w:szCs w:val="24"/>
          <w:spacing w:val="-6"/>
        </w:rPr>
        <w:t>日-8 月 4</w:t>
      </w:r>
      <w:r>
        <w:rPr>
          <w:rFonts w:ascii="Microsoft YaHei" w:hAnsi="Microsoft YaHei" w:eastAsia="Microsoft YaHei" w:cs="Microsoft YaHei"/>
          <w:sz w:val="24"/>
          <w:szCs w:val="24"/>
          <w:spacing w:val="26"/>
          <w:w w:val="101"/>
        </w:rPr>
        <w:t xml:space="preserve"> </w:t>
      </w:r>
      <w:r>
        <w:rPr>
          <w:rFonts w:ascii="Microsoft YaHei" w:hAnsi="Microsoft YaHei" w:eastAsia="Microsoft YaHei" w:cs="Microsoft YaHei"/>
          <w:sz w:val="24"/>
          <w:szCs w:val="24"/>
          <w:spacing w:val="-6"/>
        </w:rPr>
        <w:t>日， 深交所官网未查询</w:t>
      </w:r>
      <w:r>
        <w:rPr>
          <w:rFonts w:ascii="Microsoft YaHei" w:hAnsi="Microsoft YaHei" w:eastAsia="Microsoft YaHei" w:cs="Microsoft YaHei"/>
          <w:sz w:val="24"/>
          <w:szCs w:val="24"/>
          <w:spacing w:val="-7"/>
        </w:rPr>
        <w:t>到问询函件。</w:t>
      </w:r>
    </w:p>
    <w:p>
      <w:pPr>
        <w:pStyle w:val="BodyText"/>
        <w:spacing w:line="274" w:lineRule="auto"/>
        <w:rPr/>
      </w:pPr>
      <w:r/>
    </w:p>
    <w:p>
      <w:pPr>
        <w:ind w:left="49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pStyle w:val="BodyText"/>
        <w:spacing w:line="272" w:lineRule="auto"/>
        <w:rPr/>
      </w:pPr>
      <w:r/>
    </w:p>
    <w:p>
      <w:pPr>
        <w:ind w:firstLine="492"/>
        <w:spacing w:before="103" w:line="35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 年 7 月 29</w:t>
      </w:r>
      <w:r>
        <w:rPr>
          <w:rFonts w:ascii="Microsoft YaHei" w:hAnsi="Microsoft YaHei" w:eastAsia="Microsoft YaHei" w:cs="Microsoft YaHei"/>
          <w:sz w:val="24"/>
          <w:szCs w:val="24"/>
          <w:spacing w:val="45"/>
          <w:w w:val="101"/>
        </w:rPr>
        <w:t xml:space="preserve"> </w:t>
      </w:r>
      <w:r>
        <w:rPr>
          <w:rFonts w:ascii="Microsoft YaHei" w:hAnsi="Microsoft YaHei" w:eastAsia="Microsoft YaHei" w:cs="Microsoft YaHei"/>
          <w:sz w:val="24"/>
          <w:szCs w:val="24"/>
          <w:spacing w:val="-3"/>
        </w:rPr>
        <w:t>日-8 月 4</w:t>
      </w:r>
      <w:r>
        <w:rPr>
          <w:rFonts w:ascii="Microsoft YaHei" w:hAnsi="Microsoft YaHei" w:eastAsia="Microsoft YaHei" w:cs="Microsoft YaHei"/>
          <w:sz w:val="24"/>
          <w:szCs w:val="24"/>
          <w:spacing w:val="31"/>
        </w:rPr>
        <w:t xml:space="preserve"> </w:t>
      </w:r>
      <w:r>
        <w:rPr>
          <w:rFonts w:ascii="Microsoft YaHei" w:hAnsi="Microsoft YaHei" w:eastAsia="Microsoft YaHei" w:cs="Microsoft YaHei"/>
          <w:sz w:val="24"/>
          <w:szCs w:val="24"/>
          <w:spacing w:val="-3"/>
        </w:rPr>
        <w:t>日， 深交所共对 87 起证券异常交易行为采取了自律监管措施， 涉及盘</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1"/>
        </w:rPr>
        <w:t>中拉抬打压、虚假申报等异常交易情形； </w:t>
      </w:r>
      <w:r>
        <w:rPr>
          <w:rFonts w:ascii="Microsoft YaHei" w:hAnsi="Microsoft YaHei" w:eastAsia="Microsoft YaHei" w:cs="Microsoft YaHei"/>
          <w:sz w:val="24"/>
          <w:szCs w:val="24"/>
        </w:rPr>
        <w:t>共对 4 起上市公司重大事项进行核查， 并上报证监会</w:t>
      </w:r>
      <w:r>
        <w:rPr>
          <w:rFonts w:ascii="Microsoft YaHei" w:hAnsi="Microsoft YaHei" w:eastAsia="Microsoft YaHei" w:cs="Microsoft YaHei"/>
          <w:sz w:val="24"/>
          <w:szCs w:val="24"/>
          <w:spacing w:val="21"/>
          <w:w w:val="101"/>
        </w:rPr>
        <w:t xml:space="preserve"> </w:t>
      </w:r>
      <w:r>
        <w:rPr>
          <w:rFonts w:ascii="Microsoft YaHei" w:hAnsi="Microsoft YaHei" w:eastAsia="Microsoft YaHei" w:cs="Microsoft YaHei"/>
          <w:sz w:val="24"/>
          <w:szCs w:val="24"/>
        </w:rPr>
        <w:t>1 起涉 </w:t>
      </w:r>
      <w:r>
        <w:rPr>
          <w:rFonts w:ascii="Microsoft YaHei" w:hAnsi="Microsoft YaHei" w:eastAsia="Microsoft YaHei" w:cs="Microsoft YaHei"/>
          <w:sz w:val="24"/>
          <w:szCs w:val="24"/>
          <w:spacing w:val="-1"/>
        </w:rPr>
        <w:t>嫌违法违规案件线索。</w:t>
      </w:r>
    </w:p>
    <w:sectPr>
      <w:pgSz w:w="11910" w:h="16840"/>
      <w:pgMar w:top="400" w:right="639" w:bottom="0" w:left="4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562850" cy="7441692"/>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62850" cy="7441692"/>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_x0000_s26" style="position:absolute;margin-left:120.654pt;margin-top:81.178pt;mso-position-vertical-relative:page;mso-position-horizontal-relative:page;width:13.8pt;height:17.7pt;z-index:251659264;" o:allowincell="f" filled="false" stroked="false" type="#_x0000_t202">
          <v:fill on="false"/>
          <v:stroke on="false"/>
          <v:path/>
          <v:imagedata o:title=""/>
          <o:lock v:ext="edit" aspectratio="false"/>
          <v:textbox inset="0mm,0mm,0mm,0mm">
            <w:txbxContent>
              <w:p>
                <w:pPr>
                  <w:ind w:left="20"/>
                  <w:spacing w:before="20" w:line="182"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rPr>
                  <w:t>管</w:t>
                </w:r>
              </w:p>
            </w:txbxContent>
          </v:textbox>
        </v:shape>
      </w:pic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jpeg"/><Relationship Id="rId7" Type="http://schemas.openxmlformats.org/officeDocument/2006/relationships/image" Target="media/image6.png"/><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jpeg"/><Relationship Id="rId2" Type="http://schemas.openxmlformats.org/officeDocument/2006/relationships/header" Target="header2.xml"/><Relationship Id="rId19" Type="http://schemas.openxmlformats.org/officeDocument/2006/relationships/fontTable" Target="fontTable.xml"/><Relationship Id="rId18" Type="http://schemas.openxmlformats.org/officeDocument/2006/relationships/styles" Target="styles.xml"/><Relationship Id="rId17" Type="http://schemas.openxmlformats.org/officeDocument/2006/relationships/settings" Target="settings.xml"/><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image" Target="media/image10.jpeg"/><Relationship Id="rId11" Type="http://schemas.openxmlformats.org/officeDocument/2006/relationships/header" Target="header3.xml"/><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2024-08-05T10:19:45Z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2024-08-05T14:16:56</vt:filetime>
  </property>
</Properties>
</file>