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pStyle w:val="BodyText"/>
        <w:spacing w:line="261" w:lineRule="auto"/>
        <w:rPr/>
      </w:pPr>
      <w:r/>
    </w:p>
    <w:p>
      <w:pPr>
        <w:pStyle w:val="BodyText"/>
        <w:spacing w:line="261" w:lineRule="auto"/>
        <w:rPr/>
      </w:pPr>
      <w:r/>
    </w:p>
    <w:p>
      <w:pPr>
        <w:pStyle w:val="BodyText"/>
        <w:spacing w:line="262" w:lineRule="auto"/>
        <w:rPr/>
      </w:pPr>
      <w:r/>
    </w:p>
    <w:p>
      <w:pPr>
        <w:pStyle w:val="BodyText"/>
        <w:spacing w:line="262" w:lineRule="auto"/>
        <w:rPr/>
      </w:pPr>
      <w:r/>
    </w:p>
    <w:p>
      <w:pPr>
        <w:pStyle w:val="BodyText"/>
        <w:spacing w:line="262" w:lineRule="auto"/>
        <w:rPr/>
      </w:pPr>
      <w:r/>
    </w:p>
    <w:p>
      <w:pPr>
        <w:pStyle w:val="BodyText"/>
        <w:spacing w:line="262" w:lineRule="auto"/>
        <w:rPr/>
      </w:pPr>
      <w:r/>
    </w:p>
    <w:p>
      <w:pPr>
        <w:pStyle w:val="BodyText"/>
        <w:spacing w:line="262" w:lineRule="auto"/>
        <w:rPr/>
      </w:pPr>
      <w:r/>
    </w:p>
    <w:p>
      <w:pPr>
        <w:pStyle w:val="BodyText"/>
        <w:spacing w:line="262" w:lineRule="auto"/>
        <w:rPr/>
      </w:pPr>
      <w:r/>
    </w:p>
    <w:p>
      <w:pPr>
        <w:ind w:left="2592"/>
        <w:spacing w:before="356" w:line="216" w:lineRule="auto"/>
        <w:outlineLvl w:val="0"/>
        <w:rPr>
          <w:rFonts w:ascii="Microsoft YaHei" w:hAnsi="Microsoft YaHei" w:eastAsia="Microsoft YaHei" w:cs="Microsoft YaHei"/>
          <w:sz w:val="83"/>
          <w:szCs w:val="83"/>
        </w:rPr>
      </w:pPr>
      <w:r>
        <w:rPr>
          <w:rFonts w:ascii="Microsoft YaHei" w:hAnsi="Microsoft YaHei" w:eastAsia="Microsoft YaHei" w:cs="Microsoft YaHei"/>
          <w:sz w:val="83"/>
          <w:szCs w:val="83"/>
          <w:b/>
          <w:bCs/>
          <w:color w:val="FFFFFF"/>
          <w:spacing w:val="7"/>
        </w:rPr>
        <w:t>一周法规速递|监管动态</w:t>
      </w:r>
    </w:p>
    <w:p>
      <w:pPr>
        <w:ind w:left="5805" w:right="573" w:hanging="388"/>
        <w:spacing w:before="7" w:line="215" w:lineRule="auto"/>
        <w:rPr>
          <w:rFonts w:ascii="Microsoft YaHei" w:hAnsi="Microsoft YaHei" w:eastAsia="Microsoft YaHei" w:cs="Microsoft YaHei"/>
          <w:sz w:val="30"/>
          <w:szCs w:val="30"/>
        </w:rPr>
      </w:pPr>
      <w:r>
        <w:rPr>
          <w:rFonts w:ascii="Microsoft YaHei" w:hAnsi="Microsoft YaHei" w:eastAsia="Microsoft YaHei" w:cs="Microsoft YaHei"/>
          <w:sz w:val="30"/>
          <w:szCs w:val="30"/>
          <w:color w:val="FFFFFF"/>
          <w:spacing w:val="-6"/>
        </w:rPr>
        <w:t>2024</w:t>
      </w:r>
      <w:r>
        <w:rPr>
          <w:rFonts w:ascii="Microsoft YaHei" w:hAnsi="Microsoft YaHei" w:eastAsia="Microsoft YaHei" w:cs="Microsoft YaHei"/>
          <w:sz w:val="30"/>
          <w:szCs w:val="30"/>
          <w:color w:val="FFFFFF"/>
          <w:spacing w:val="80"/>
        </w:rPr>
        <w:t xml:space="preserve"> </w:t>
      </w:r>
      <w:r>
        <w:rPr>
          <w:rFonts w:ascii="Microsoft YaHei" w:hAnsi="Microsoft YaHei" w:eastAsia="Microsoft YaHei" w:cs="Microsoft YaHei"/>
          <w:sz w:val="30"/>
          <w:szCs w:val="30"/>
          <w:color w:val="FFFFFF"/>
          <w:spacing w:val="-6"/>
        </w:rPr>
        <w:t>年</w:t>
      </w:r>
      <w:r>
        <w:rPr>
          <w:rFonts w:ascii="Microsoft YaHei" w:hAnsi="Microsoft YaHei" w:eastAsia="Microsoft YaHei" w:cs="Microsoft YaHei"/>
          <w:sz w:val="30"/>
          <w:szCs w:val="30"/>
          <w:color w:val="FFFFFF"/>
          <w:spacing w:val="76"/>
        </w:rPr>
        <w:t xml:space="preserve"> </w:t>
      </w:r>
      <w:r>
        <w:rPr>
          <w:rFonts w:ascii="Microsoft YaHei" w:hAnsi="Microsoft YaHei" w:eastAsia="Microsoft YaHei" w:cs="Microsoft YaHei"/>
          <w:sz w:val="30"/>
          <w:szCs w:val="30"/>
          <w:color w:val="FFFFFF"/>
          <w:spacing w:val="-6"/>
        </w:rPr>
        <w:t>07</w:t>
      </w:r>
      <w:r>
        <w:rPr>
          <w:rFonts w:ascii="Microsoft YaHei" w:hAnsi="Microsoft YaHei" w:eastAsia="Microsoft YaHei" w:cs="Microsoft YaHei"/>
          <w:sz w:val="30"/>
          <w:szCs w:val="30"/>
          <w:color w:val="FFFFFF"/>
          <w:spacing w:val="72"/>
        </w:rPr>
        <w:t xml:space="preserve"> </w:t>
      </w:r>
      <w:r>
        <w:rPr>
          <w:rFonts w:ascii="Microsoft YaHei" w:hAnsi="Microsoft YaHei" w:eastAsia="Microsoft YaHei" w:cs="Microsoft YaHei"/>
          <w:sz w:val="30"/>
          <w:szCs w:val="30"/>
          <w:color w:val="FFFFFF"/>
          <w:spacing w:val="-6"/>
        </w:rPr>
        <w:t>月</w:t>
      </w:r>
      <w:r>
        <w:rPr>
          <w:rFonts w:ascii="Microsoft YaHei" w:hAnsi="Microsoft YaHei" w:eastAsia="Microsoft YaHei" w:cs="Microsoft YaHei"/>
          <w:sz w:val="30"/>
          <w:szCs w:val="30"/>
          <w:color w:val="FFFFFF"/>
          <w:spacing w:val="80"/>
        </w:rPr>
        <w:t xml:space="preserve"> </w:t>
      </w:r>
      <w:r>
        <w:rPr>
          <w:rFonts w:ascii="Microsoft YaHei" w:hAnsi="Microsoft YaHei" w:eastAsia="Microsoft YaHei" w:cs="Microsoft YaHei"/>
          <w:sz w:val="30"/>
          <w:szCs w:val="30"/>
          <w:color w:val="FFFFFF"/>
          <w:spacing w:val="-6"/>
        </w:rPr>
        <w:t>22日—2024</w:t>
      </w:r>
      <w:r>
        <w:rPr>
          <w:rFonts w:ascii="Microsoft YaHei" w:hAnsi="Microsoft YaHei" w:eastAsia="Microsoft YaHei" w:cs="Microsoft YaHei"/>
          <w:sz w:val="30"/>
          <w:szCs w:val="30"/>
          <w:color w:val="FFFFFF"/>
          <w:spacing w:val="68"/>
        </w:rPr>
        <w:t xml:space="preserve"> </w:t>
      </w:r>
      <w:r>
        <w:rPr>
          <w:rFonts w:ascii="Microsoft YaHei" w:hAnsi="Microsoft YaHei" w:eastAsia="Microsoft YaHei" w:cs="Microsoft YaHei"/>
          <w:sz w:val="30"/>
          <w:szCs w:val="30"/>
          <w:color w:val="FFFFFF"/>
          <w:spacing w:val="-6"/>
        </w:rPr>
        <w:t>年</w:t>
      </w:r>
      <w:r>
        <w:rPr>
          <w:rFonts w:ascii="Microsoft YaHei" w:hAnsi="Microsoft YaHei" w:eastAsia="Microsoft YaHei" w:cs="Microsoft YaHei"/>
          <w:sz w:val="30"/>
          <w:szCs w:val="30"/>
          <w:color w:val="FFFFFF"/>
          <w:spacing w:val="75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30"/>
          <w:szCs w:val="30"/>
          <w:color w:val="FFFFFF"/>
          <w:spacing w:val="-6"/>
        </w:rPr>
        <w:t>07</w:t>
      </w:r>
      <w:r>
        <w:rPr>
          <w:rFonts w:ascii="Microsoft YaHei" w:hAnsi="Microsoft YaHei" w:eastAsia="Microsoft YaHei" w:cs="Microsoft YaHei"/>
          <w:sz w:val="30"/>
          <w:szCs w:val="30"/>
          <w:color w:val="FFFFFF"/>
          <w:spacing w:val="72"/>
        </w:rPr>
        <w:t xml:space="preserve"> </w:t>
      </w:r>
      <w:r>
        <w:rPr>
          <w:rFonts w:ascii="Microsoft YaHei" w:hAnsi="Microsoft YaHei" w:eastAsia="Microsoft YaHei" w:cs="Microsoft YaHei"/>
          <w:sz w:val="30"/>
          <w:szCs w:val="30"/>
          <w:color w:val="FFFFFF"/>
          <w:spacing w:val="-6"/>
        </w:rPr>
        <w:t>月</w:t>
      </w:r>
      <w:r>
        <w:rPr>
          <w:rFonts w:ascii="Microsoft YaHei" w:hAnsi="Microsoft YaHei" w:eastAsia="Microsoft YaHei" w:cs="Microsoft YaHei"/>
          <w:sz w:val="30"/>
          <w:szCs w:val="30"/>
          <w:color w:val="FFFFFF"/>
          <w:spacing w:val="78"/>
        </w:rPr>
        <w:t xml:space="preserve"> </w:t>
      </w:r>
      <w:r>
        <w:rPr>
          <w:rFonts w:ascii="Microsoft YaHei" w:hAnsi="Microsoft YaHei" w:eastAsia="Microsoft YaHei" w:cs="Microsoft YaHei"/>
          <w:sz w:val="30"/>
          <w:szCs w:val="30"/>
          <w:color w:val="FFFFFF"/>
          <w:spacing w:val="-6"/>
        </w:rPr>
        <w:t>28</w:t>
      </w:r>
      <w:r>
        <w:rPr>
          <w:rFonts w:ascii="Microsoft YaHei" w:hAnsi="Microsoft YaHei" w:eastAsia="Microsoft YaHei" w:cs="Microsoft YaHei"/>
          <w:sz w:val="30"/>
          <w:szCs w:val="30"/>
          <w:color w:val="FFFFFF"/>
        </w:rPr>
        <w:t xml:space="preserve"> </w:t>
      </w:r>
      <w:r>
        <w:rPr>
          <w:rFonts w:ascii="Microsoft YaHei" w:hAnsi="Microsoft YaHei" w:eastAsia="Microsoft YaHei" w:cs="Microsoft YaHei"/>
          <w:sz w:val="30"/>
          <w:szCs w:val="30"/>
          <w:color w:val="FFFFFF"/>
        </w:rPr>
        <w:t>日</w:t>
      </w:r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ind w:left="4586" w:right="3636" w:hanging="886"/>
        <w:spacing w:before="133" w:line="195" w:lineRule="auto"/>
        <w:rPr>
          <w:rFonts w:ascii="Microsoft YaHei" w:hAnsi="Microsoft YaHei" w:eastAsia="Microsoft YaHei" w:cs="Microsoft YaHei"/>
          <w:sz w:val="31"/>
          <w:szCs w:val="31"/>
        </w:rPr>
      </w:pPr>
      <w:r>
        <w:rPr>
          <w:rFonts w:ascii="Microsoft YaHei" w:hAnsi="Microsoft YaHei" w:eastAsia="Microsoft YaHei" w:cs="Microsoft YaHei"/>
          <w:sz w:val="31"/>
          <w:szCs w:val="31"/>
          <w:b/>
          <w:bCs/>
          <w:spacing w:val="9"/>
        </w:rPr>
        <w:t>深圳价值在线咨询顾问有限公司</w:t>
      </w:r>
      <w:r>
        <w:rPr>
          <w:rFonts w:ascii="Microsoft YaHei" w:hAnsi="Microsoft YaHei" w:eastAsia="Microsoft YaHei" w:cs="Microsoft YaHei"/>
          <w:sz w:val="31"/>
          <w:szCs w:val="31"/>
          <w:b/>
          <w:bCs/>
          <w:spacing w:val="6"/>
        </w:rPr>
        <w:t xml:space="preserve"> </w:t>
      </w:r>
      <w:r>
        <w:rPr>
          <w:rFonts w:ascii="Microsoft YaHei" w:hAnsi="Microsoft YaHei" w:eastAsia="Microsoft YaHei" w:cs="Microsoft YaHei"/>
          <w:sz w:val="31"/>
          <w:szCs w:val="31"/>
          <w:b/>
          <w:bCs/>
        </w:rPr>
        <w:t>2024</w:t>
      </w:r>
      <w:r>
        <w:rPr>
          <w:rFonts w:ascii="Microsoft YaHei" w:hAnsi="Microsoft YaHei" w:eastAsia="Microsoft YaHei" w:cs="Microsoft YaHei"/>
          <w:sz w:val="31"/>
          <w:szCs w:val="31"/>
          <w:b/>
          <w:bCs/>
          <w:spacing w:val="87"/>
        </w:rPr>
        <w:t xml:space="preserve"> </w:t>
      </w:r>
      <w:r>
        <w:rPr>
          <w:rFonts w:ascii="Microsoft YaHei" w:hAnsi="Microsoft YaHei" w:eastAsia="Microsoft YaHei" w:cs="Microsoft YaHei"/>
          <w:sz w:val="31"/>
          <w:szCs w:val="31"/>
          <w:b/>
          <w:bCs/>
        </w:rPr>
        <w:t>年</w:t>
      </w:r>
      <w:r>
        <w:rPr>
          <w:rFonts w:ascii="Microsoft YaHei" w:hAnsi="Microsoft YaHei" w:eastAsia="Microsoft YaHei" w:cs="Microsoft YaHei"/>
          <w:sz w:val="31"/>
          <w:szCs w:val="31"/>
          <w:b/>
          <w:bCs/>
          <w:spacing w:val="80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31"/>
          <w:szCs w:val="31"/>
          <w:b/>
          <w:bCs/>
        </w:rPr>
        <w:t>07</w:t>
      </w:r>
      <w:r>
        <w:rPr>
          <w:rFonts w:ascii="Microsoft YaHei" w:hAnsi="Microsoft YaHei" w:eastAsia="Microsoft YaHei" w:cs="Microsoft YaHei"/>
          <w:sz w:val="31"/>
          <w:szCs w:val="31"/>
          <w:b/>
          <w:bCs/>
          <w:spacing w:val="79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31"/>
          <w:szCs w:val="31"/>
          <w:b/>
          <w:bCs/>
        </w:rPr>
        <w:t>月</w:t>
      </w:r>
      <w:r>
        <w:rPr>
          <w:rFonts w:ascii="Microsoft YaHei" w:hAnsi="Microsoft YaHei" w:eastAsia="Microsoft YaHei" w:cs="Microsoft YaHei"/>
          <w:sz w:val="31"/>
          <w:szCs w:val="31"/>
          <w:b/>
          <w:bCs/>
          <w:spacing w:val="85"/>
        </w:rPr>
        <w:t xml:space="preserve"> </w:t>
      </w:r>
      <w:r>
        <w:rPr>
          <w:rFonts w:ascii="Microsoft YaHei" w:hAnsi="Microsoft YaHei" w:eastAsia="Microsoft YaHei" w:cs="Microsoft YaHei"/>
          <w:sz w:val="31"/>
          <w:szCs w:val="31"/>
          <w:b/>
          <w:bCs/>
        </w:rPr>
        <w:t>29  日</w:t>
      </w:r>
    </w:p>
    <w:p>
      <w:pPr>
        <w:spacing w:line="195" w:lineRule="auto"/>
        <w:sectPr>
          <w:headerReference w:type="default" r:id="rId1"/>
          <w:pgSz w:w="11910" w:h="16840"/>
          <w:pgMar w:top="400" w:right="99" w:bottom="0" w:left="0" w:header="0" w:footer="0" w:gutter="0"/>
        </w:sectPr>
        <w:rPr>
          <w:rFonts w:ascii="Microsoft YaHei" w:hAnsi="Microsoft YaHei" w:eastAsia="Microsoft YaHei" w:cs="Microsoft YaHei"/>
          <w:sz w:val="31"/>
          <w:szCs w:val="31"/>
        </w:rPr>
      </w:pPr>
    </w:p>
    <w:p>
      <w:pPr>
        <w:rPr>
          <w:rFonts w:ascii="Microsoft YaHei" w:hAnsi="Microsoft YaHei" w:eastAsia="Microsoft YaHei" w:cs="Microsoft YaHei"/>
          <w:sz w:val="43"/>
          <w:szCs w:val="43"/>
        </w:rPr>
      </w:pPr>
      <w:r>
        <w:pict>
          <v:rect id="_x0000_s2" style="position:absolute;margin-left:63.25pt;margin-top:45.673pt;mso-position-vertical-relative:text;mso-position-horizontal-relative:text;width:525.55pt;height:2.75pt;z-index:251659264;" fillcolor="#A61C1F" filled="true" stroked="false"/>
        </w:pict>
      </w:r>
      <w:r>
        <w:pict>
          <v:shape id="_x0000_s4" style="position:absolute;margin-left:28.275pt;margin-top:35.406pt;mso-position-vertical-relative:text;mso-position-horizontal-relative:text;width:4.4pt;height:5pt;z-index:-251658240;" fillcolor="#FFFFFF" filled="true" stroked="false" coordsize="88,100" coordorigin="0,0" path="m44,99m44,99l27,94l12,84l3,68l0,48l3,29l12,15l27,3l44,0l58,3l72,15l82,29l87,48l82,68l72,84l58,94l44,99e"/>
        </w:pict>
      </w:r>
      <w:r>
        <w:rPr>
          <w:rFonts w:ascii="Microsoft YaHei" w:hAnsi="Microsoft YaHei" w:eastAsia="Microsoft YaHei" w:cs="Microsoft YaHei"/>
          <w:sz w:val="43"/>
          <w:szCs w:val="43"/>
          <w:position w:val="-39"/>
        </w:rPr>
        <w:drawing>
          <wp:inline distT="0" distB="0" distL="0" distR="0">
            <wp:extent cx="803148" cy="623964"/>
            <wp:effectExtent l="0" t="0" r="0" b="0"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03148" cy="6239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hAnsi="Microsoft YaHei" w:eastAsia="Microsoft YaHei" w:cs="Microsoft YaHei"/>
          <w:sz w:val="43"/>
          <w:szCs w:val="43"/>
          <w:spacing w:val="15"/>
        </w:rPr>
        <w:t xml:space="preserve">   </w:t>
      </w:r>
      <w:r>
        <w:rPr>
          <w:rFonts w:ascii="Microsoft YaHei" w:hAnsi="Microsoft YaHei" w:eastAsia="Microsoft YaHei" w:cs="Microsoft YaHei"/>
          <w:sz w:val="43"/>
          <w:szCs w:val="43"/>
          <w:spacing w:val="8"/>
        </w:rPr>
        <w:t>法规速递</w:t>
      </w:r>
    </w:p>
    <w:p>
      <w:pPr>
        <w:pStyle w:val="BodyText"/>
        <w:spacing w:line="253" w:lineRule="auto"/>
        <w:rPr/>
      </w:pPr>
      <w:r/>
    </w:p>
    <w:p>
      <w:pPr>
        <w:pStyle w:val="BodyText"/>
        <w:spacing w:line="254" w:lineRule="auto"/>
        <w:rPr/>
      </w:pPr>
      <w:r/>
    </w:p>
    <w:p>
      <w:pPr>
        <w:pStyle w:val="BodyText"/>
        <w:spacing w:line="254" w:lineRule="auto"/>
        <w:rPr/>
      </w:pPr>
      <w:r/>
    </w:p>
    <w:p>
      <w:pPr>
        <w:ind w:left="961"/>
        <w:spacing w:before="120" w:line="183" w:lineRule="auto"/>
        <w:outlineLvl w:val="0"/>
        <w:rPr>
          <w:rFonts w:ascii="Microsoft YaHei" w:hAnsi="Microsoft YaHei" w:eastAsia="Microsoft YaHei" w:cs="Microsoft YaHei"/>
          <w:sz w:val="28"/>
          <w:szCs w:val="28"/>
        </w:rPr>
      </w:pPr>
      <w:r>
        <w:rPr>
          <w:rFonts w:ascii="Microsoft YaHei" w:hAnsi="Microsoft YaHei" w:eastAsia="Microsoft YaHei" w:cs="Microsoft YaHei"/>
          <w:sz w:val="28"/>
          <w:szCs w:val="28"/>
          <w:b/>
          <w:bCs/>
          <w:color w:val="0B0B0B"/>
          <w:spacing w:val="-1"/>
        </w:rPr>
        <w:t>1、关于深港通交易信息披露机制调整相关事</w:t>
      </w:r>
      <w:r>
        <w:rPr>
          <w:rFonts w:ascii="Microsoft YaHei" w:hAnsi="Microsoft YaHei" w:eastAsia="Microsoft YaHei" w:cs="Microsoft YaHei"/>
          <w:sz w:val="28"/>
          <w:szCs w:val="28"/>
          <w:b/>
          <w:bCs/>
          <w:color w:val="0B0B0B"/>
          <w:spacing w:val="-2"/>
        </w:rPr>
        <w:t>项的通知</w:t>
      </w:r>
    </w:p>
    <w:p>
      <w:pPr>
        <w:pStyle w:val="BodyText"/>
        <w:spacing w:line="457" w:lineRule="auto"/>
        <w:rPr/>
      </w:pPr>
      <w:r/>
    </w:p>
    <w:p>
      <w:pPr>
        <w:ind w:left="1141"/>
        <w:spacing w:before="103" w:line="184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color w:val="0B0B0B"/>
          <w:spacing w:val="-1"/>
        </w:rPr>
        <w:t>各市场参与人：</w:t>
      </w:r>
    </w:p>
    <w:p>
      <w:pPr>
        <w:pStyle w:val="BodyText"/>
        <w:spacing w:line="423" w:lineRule="auto"/>
        <w:rPr/>
      </w:pPr>
      <w:r/>
    </w:p>
    <w:p>
      <w:pPr>
        <w:ind w:left="662" w:right="531" w:firstLine="485"/>
        <w:spacing w:before="103" w:line="319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color w:val="0B0B0B"/>
          <w:spacing w:val="-5"/>
        </w:rPr>
        <w:t>为进一步优化深港通机制， 保证内地与香港市场整体信息披露的一致性， 2024年4月12日， 深沪</w:t>
      </w:r>
      <w:r>
        <w:rPr>
          <w:rFonts w:ascii="Microsoft YaHei" w:hAnsi="Microsoft YaHei" w:eastAsia="Microsoft YaHei" w:cs="Microsoft YaHei"/>
          <w:sz w:val="24"/>
          <w:szCs w:val="24"/>
          <w:color w:val="0B0B0B"/>
          <w:spacing w:val="16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color w:val="0B0B0B"/>
        </w:rPr>
        <w:t>港交易所宣布将同步调整深沪港通交易信息披露机制。根据《深圳证券交易所深港通业务实施办法》 </w:t>
      </w:r>
      <w:r>
        <w:rPr>
          <w:rFonts w:ascii="Microsoft YaHei" w:hAnsi="Microsoft YaHei" w:eastAsia="Microsoft YaHei" w:cs="Microsoft YaHei"/>
          <w:sz w:val="24"/>
          <w:szCs w:val="24"/>
          <w:color w:val="0B0B0B"/>
          <w:spacing w:val="-6"/>
        </w:rPr>
        <w:t>等有关规定， 经履行相关程序， 深圳证券交易所 （以下简称本所）</w:t>
      </w:r>
      <w:r>
        <w:rPr>
          <w:rFonts w:ascii="Microsoft YaHei" w:hAnsi="Microsoft YaHei" w:eastAsia="Microsoft YaHei" w:cs="Microsoft YaHei"/>
          <w:sz w:val="24"/>
          <w:szCs w:val="24"/>
          <w:color w:val="0B0B0B"/>
          <w:spacing w:val="18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color w:val="0B0B0B"/>
          <w:spacing w:val="-6"/>
        </w:rPr>
        <w:t>自2024年8月19</w:t>
      </w:r>
      <w:r>
        <w:rPr>
          <w:rFonts w:ascii="Microsoft YaHei" w:hAnsi="Microsoft YaHei" w:eastAsia="Microsoft YaHei" w:cs="Microsoft YaHei"/>
          <w:sz w:val="24"/>
          <w:szCs w:val="24"/>
          <w:color w:val="0B0B0B"/>
          <w:spacing w:val="-7"/>
        </w:rPr>
        <w:t>日起调整深港通交</w:t>
      </w:r>
      <w:r>
        <w:rPr>
          <w:rFonts w:ascii="Microsoft YaHei" w:hAnsi="Microsoft YaHei" w:eastAsia="Microsoft YaHei" w:cs="Microsoft YaHei"/>
          <w:sz w:val="24"/>
          <w:szCs w:val="24"/>
          <w:color w:val="0B0B0B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color w:val="0B0B0B"/>
          <w:spacing w:val="-2"/>
        </w:rPr>
        <w:t>易信息披露机制。调整后， 深股通、港股通相关交易信息公布内容按下列规定执行。</w:t>
      </w:r>
    </w:p>
    <w:p>
      <w:pPr>
        <w:pStyle w:val="BodyText"/>
        <w:spacing w:line="269" w:lineRule="auto"/>
        <w:rPr/>
      </w:pPr>
      <w:r/>
    </w:p>
    <w:p>
      <w:pPr>
        <w:ind w:left="9716"/>
        <w:spacing w:before="102" w:line="183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color w:val="0B0B0B"/>
          <w:spacing w:val="-1"/>
        </w:rPr>
        <w:t>深圳证券交易所</w:t>
      </w:r>
    </w:p>
    <w:p>
      <w:pPr>
        <w:pStyle w:val="BodyText"/>
        <w:spacing w:line="427" w:lineRule="auto"/>
        <w:rPr/>
      </w:pPr>
      <w:r/>
    </w:p>
    <w:p>
      <w:pPr>
        <w:ind w:left="9702"/>
        <w:spacing w:before="103" w:line="183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color w:val="0B0B0B"/>
          <w:spacing w:val="-2"/>
        </w:rPr>
        <w:t>2024年7月26日</w:t>
      </w:r>
    </w:p>
    <w:p>
      <w:pPr>
        <w:pStyle w:val="BodyText"/>
        <w:spacing w:line="266" w:lineRule="auto"/>
        <w:rPr/>
      </w:pPr>
      <w:r/>
    </w:p>
    <w:p>
      <w:pPr>
        <w:pStyle w:val="BodyText"/>
        <w:spacing w:line="267" w:lineRule="auto"/>
        <w:rPr/>
      </w:pPr>
      <w:r/>
    </w:p>
    <w:p>
      <w:pPr>
        <w:pStyle w:val="BodyText"/>
        <w:spacing w:line="267" w:lineRule="auto"/>
        <w:rPr/>
      </w:pPr>
      <w:r/>
    </w:p>
    <w:p>
      <w:pPr>
        <w:pStyle w:val="BodyText"/>
        <w:spacing w:line="267" w:lineRule="auto"/>
        <w:rPr/>
      </w:pPr>
      <w:r/>
    </w:p>
    <w:p>
      <w:pPr>
        <w:ind w:firstLine="4487"/>
        <w:spacing w:before="1" w:line="2703" w:lineRule="exact"/>
        <w:rPr/>
      </w:pPr>
      <w:r>
        <w:rPr>
          <w:position w:val="-54"/>
        </w:rPr>
        <w:drawing>
          <wp:inline distT="0" distB="0" distL="0" distR="0">
            <wp:extent cx="1732787" cy="1716023"/>
            <wp:effectExtent l="0" t="0" r="0" b="0"/>
            <wp:docPr id="6" name="IM 6"/>
            <wp:cNvGraphicFramePr/>
            <a:graphic>
              <a:graphicData uri="http://schemas.openxmlformats.org/drawingml/2006/picture">
                <pic:pic>
                  <pic:nvPicPr>
                    <pic:cNvPr id="6" name="IM 6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732787" cy="17160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356" w:lineRule="auto"/>
        <w:rPr/>
      </w:pPr>
      <w:r/>
    </w:p>
    <w:p>
      <w:pPr>
        <w:ind w:left="3759"/>
        <w:spacing w:before="103" w:line="183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color w:val="0B0B0B"/>
          <w:spacing w:val="-1"/>
        </w:rPr>
        <w:t>关于深港通交易信息披露机制调整相关事项的通知</w:t>
      </w:r>
    </w:p>
    <w:p>
      <w:pPr>
        <w:spacing w:line="183" w:lineRule="auto"/>
        <w:sectPr>
          <w:headerReference w:type="default" r:id="rId2"/>
          <w:pgSz w:w="11910" w:h="16840"/>
          <w:pgMar w:top="1" w:right="134" w:bottom="0" w:left="0" w:header="0" w:footer="0" w:gutter="0"/>
        </w:sectPr>
        <w:rPr>
          <w:rFonts w:ascii="Microsoft YaHei" w:hAnsi="Microsoft YaHei" w:eastAsia="Microsoft YaHei" w:cs="Microsoft YaHei"/>
          <w:sz w:val="24"/>
          <w:szCs w:val="24"/>
        </w:rPr>
      </w:pPr>
    </w:p>
    <w:p>
      <w:pPr>
        <w:rPr>
          <w:rFonts w:ascii="Microsoft YaHei" w:hAnsi="Microsoft YaHei" w:eastAsia="Microsoft YaHei" w:cs="Microsoft YaHei"/>
          <w:sz w:val="43"/>
          <w:szCs w:val="43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column">
              <wp:posOffset>803275</wp:posOffset>
            </wp:positionH>
            <wp:positionV relativeFrom="paragraph">
              <wp:posOffset>580047</wp:posOffset>
            </wp:positionV>
            <wp:extent cx="6674484" cy="34493"/>
            <wp:effectExtent l="0" t="0" r="0" b="0"/>
            <wp:wrapNone/>
            <wp:docPr id="8" name="IM 8"/>
            <wp:cNvGraphicFramePr/>
            <a:graphic>
              <a:graphicData uri="http://schemas.openxmlformats.org/drawingml/2006/picture">
                <pic:pic>
                  <pic:nvPicPr>
                    <pic:cNvPr id="8" name="IM 8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74484" cy="344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hAnsi="Microsoft YaHei" w:eastAsia="Microsoft YaHei" w:cs="Microsoft YaHei"/>
          <w:sz w:val="43"/>
          <w:szCs w:val="43"/>
          <w:position w:val="-39"/>
        </w:rPr>
        <w:drawing>
          <wp:inline distT="0" distB="0" distL="0" distR="0">
            <wp:extent cx="803148" cy="623964"/>
            <wp:effectExtent l="0" t="0" r="0" b="0"/>
            <wp:docPr id="10" name="IM 10"/>
            <wp:cNvGraphicFramePr/>
            <a:graphic>
              <a:graphicData uri="http://schemas.openxmlformats.org/drawingml/2006/picture">
                <pic:pic>
                  <pic:nvPicPr>
                    <pic:cNvPr id="10" name="IM 10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03148" cy="6239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hAnsi="Microsoft YaHei" w:eastAsia="Microsoft YaHei" w:cs="Microsoft YaHei"/>
          <w:sz w:val="43"/>
          <w:szCs w:val="43"/>
          <w:spacing w:val="15"/>
        </w:rPr>
        <w:t xml:space="preserve">   </w:t>
      </w:r>
      <w:r>
        <w:rPr>
          <w:rFonts w:ascii="Microsoft YaHei" w:hAnsi="Microsoft YaHei" w:eastAsia="Microsoft YaHei" w:cs="Microsoft YaHei"/>
          <w:sz w:val="43"/>
          <w:szCs w:val="43"/>
          <w:spacing w:val="8"/>
        </w:rPr>
        <w:t>法规速递</w:t>
      </w:r>
    </w:p>
    <w:p>
      <w:pPr>
        <w:pStyle w:val="BodyText"/>
        <w:spacing w:line="329" w:lineRule="auto"/>
        <w:rPr/>
      </w:pPr>
      <w:r/>
    </w:p>
    <w:p>
      <w:pPr>
        <w:pStyle w:val="BodyText"/>
        <w:spacing w:line="330" w:lineRule="auto"/>
        <w:rPr/>
      </w:pPr>
      <w:r/>
    </w:p>
    <w:p>
      <w:pPr>
        <w:ind w:left="1233"/>
        <w:spacing w:before="120" w:line="183" w:lineRule="auto"/>
        <w:outlineLvl w:val="0"/>
        <w:rPr>
          <w:rFonts w:ascii="Microsoft YaHei" w:hAnsi="Microsoft YaHei" w:eastAsia="Microsoft YaHei" w:cs="Microsoft YaHei"/>
          <w:sz w:val="28"/>
          <w:szCs w:val="28"/>
        </w:rPr>
      </w:pPr>
      <w:r>
        <w:rPr>
          <w:rFonts w:ascii="Microsoft YaHei" w:hAnsi="Microsoft YaHei" w:eastAsia="Microsoft YaHei" w:cs="Microsoft YaHei"/>
          <w:sz w:val="28"/>
          <w:szCs w:val="28"/>
          <w:b/>
          <w:bCs/>
          <w:spacing w:val="-1"/>
        </w:rPr>
        <w:t>2</w:t>
      </w:r>
      <w:r>
        <w:rPr>
          <w:rFonts w:ascii="Microsoft YaHei" w:hAnsi="Microsoft YaHei" w:eastAsia="Microsoft YaHei" w:cs="Microsoft YaHei"/>
          <w:sz w:val="28"/>
          <w:szCs w:val="28"/>
          <w:b/>
          <w:bCs/>
          <w:color w:val="0B0B0B"/>
          <w:spacing w:val="-1"/>
        </w:rPr>
        <w:t>、关于沪港通交易信息披露机制调整相关事项的通知</w:t>
      </w:r>
    </w:p>
    <w:p>
      <w:pPr>
        <w:pStyle w:val="BodyText"/>
        <w:spacing w:line="455" w:lineRule="auto"/>
        <w:rPr/>
      </w:pPr>
      <w:r/>
    </w:p>
    <w:p>
      <w:pPr>
        <w:ind w:left="1141"/>
        <w:spacing w:before="103" w:line="184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color w:val="0B0B0B"/>
          <w:spacing w:val="-1"/>
        </w:rPr>
        <w:t>各市场参与人：</w:t>
      </w:r>
    </w:p>
    <w:p>
      <w:pPr>
        <w:pStyle w:val="BodyText"/>
        <w:spacing w:line="425" w:lineRule="auto"/>
        <w:rPr/>
      </w:pPr>
      <w:r/>
    </w:p>
    <w:p>
      <w:pPr>
        <w:ind w:left="661" w:right="531" w:firstLine="486"/>
        <w:spacing w:before="103" w:line="319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color w:val="0B0B0B"/>
          <w:spacing w:val="-5"/>
        </w:rPr>
        <w:t>为进一步优化沪港通机制， 保证市场整体信息披露的一致性， 2024年4月12日， 沪深港交易所宣</w:t>
      </w:r>
      <w:r>
        <w:rPr>
          <w:rFonts w:ascii="Microsoft YaHei" w:hAnsi="Microsoft YaHei" w:eastAsia="Microsoft YaHei" w:cs="Microsoft YaHei"/>
          <w:sz w:val="24"/>
          <w:szCs w:val="24"/>
          <w:color w:val="0B0B0B"/>
          <w:spacing w:val="16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color w:val="0B0B0B"/>
        </w:rPr>
        <w:t>布将同步调整沪深港通交易信息披露机制。根据《上海证券交易所沪港通业务实施办法》等</w:t>
      </w:r>
      <w:r>
        <w:rPr>
          <w:rFonts w:ascii="Microsoft YaHei" w:hAnsi="Microsoft YaHei" w:eastAsia="Microsoft YaHei" w:cs="Microsoft YaHei"/>
          <w:sz w:val="24"/>
          <w:szCs w:val="24"/>
          <w:color w:val="0B0B0B"/>
          <w:spacing w:val="-1"/>
        </w:rPr>
        <w:t>有关规</w:t>
      </w:r>
      <w:r>
        <w:rPr>
          <w:rFonts w:ascii="Microsoft YaHei" w:hAnsi="Microsoft YaHei" w:eastAsia="Microsoft YaHei" w:cs="Microsoft YaHei"/>
          <w:sz w:val="24"/>
          <w:szCs w:val="24"/>
          <w:color w:val="0B0B0B"/>
        </w:rPr>
        <w:t xml:space="preserve">    </w:t>
      </w:r>
      <w:r>
        <w:rPr>
          <w:rFonts w:ascii="Microsoft YaHei" w:hAnsi="Microsoft YaHei" w:eastAsia="Microsoft YaHei" w:cs="Microsoft YaHei"/>
          <w:sz w:val="24"/>
          <w:szCs w:val="24"/>
          <w:color w:val="0B0B0B"/>
          <w:spacing w:val="-6"/>
        </w:rPr>
        <w:t>定， 上海证券交易所 （以下简称本所） 决定自2024年8月19日起调整沪港通交易信息披露机制， 调整</w:t>
      </w:r>
      <w:r>
        <w:rPr>
          <w:rFonts w:ascii="Microsoft YaHei" w:hAnsi="Microsoft YaHei" w:eastAsia="Microsoft YaHei" w:cs="Microsoft YaHei"/>
          <w:sz w:val="24"/>
          <w:szCs w:val="24"/>
          <w:color w:val="0B0B0B"/>
          <w:spacing w:val="17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color w:val="0B0B0B"/>
          <w:spacing w:val="-1"/>
        </w:rPr>
        <w:t>后公布内容如下：</w:t>
      </w:r>
    </w:p>
    <w:p>
      <w:pPr>
        <w:pStyle w:val="BodyText"/>
        <w:spacing w:line="445" w:lineRule="auto"/>
        <w:rPr/>
      </w:pPr>
      <w:r/>
    </w:p>
    <w:p>
      <w:pPr>
        <w:ind w:left="1140"/>
        <w:spacing w:before="103" w:line="183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color w:val="0B0B0B"/>
          <w:spacing w:val="-1"/>
        </w:rPr>
        <w:t>特此通知。</w:t>
      </w:r>
    </w:p>
    <w:p>
      <w:pPr>
        <w:pStyle w:val="BodyText"/>
        <w:spacing w:line="427" w:lineRule="auto"/>
        <w:rPr/>
      </w:pPr>
      <w:r/>
    </w:p>
    <w:p>
      <w:pPr>
        <w:ind w:left="9718"/>
        <w:spacing w:before="103" w:line="183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spacing w:val="-1"/>
        </w:rPr>
        <w:t>上海证券交易所</w:t>
      </w:r>
    </w:p>
    <w:p>
      <w:pPr>
        <w:pStyle w:val="BodyText"/>
        <w:spacing w:line="425" w:lineRule="auto"/>
        <w:rPr/>
      </w:pPr>
      <w:r/>
    </w:p>
    <w:p>
      <w:pPr>
        <w:ind w:left="9702"/>
        <w:spacing w:before="103" w:line="183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spacing w:val="-2"/>
        </w:rPr>
        <w:t>2024年7月26日</w:t>
      </w:r>
    </w:p>
    <w:p>
      <w:pPr>
        <w:ind w:firstLine="4272"/>
        <w:spacing w:before="160" w:line="3161" w:lineRule="exact"/>
        <w:rPr/>
      </w:pPr>
      <w:r>
        <w:rPr>
          <w:position w:val="-63"/>
        </w:rPr>
        <w:drawing>
          <wp:inline distT="0" distB="0" distL="0" distR="0">
            <wp:extent cx="2007108" cy="2007107"/>
            <wp:effectExtent l="0" t="0" r="0" b="0"/>
            <wp:docPr id="12" name="IM 12"/>
            <wp:cNvGraphicFramePr/>
            <a:graphic>
              <a:graphicData uri="http://schemas.openxmlformats.org/drawingml/2006/picture">
                <pic:pic>
                  <pic:nvPicPr>
                    <pic:cNvPr id="12" name="IM 1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007108" cy="20071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354" w:lineRule="auto"/>
        <w:rPr/>
      </w:pPr>
      <w:r/>
    </w:p>
    <w:p>
      <w:pPr>
        <w:ind w:left="3819"/>
        <w:spacing w:before="103" w:line="183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color w:val="0B0B0B"/>
          <w:spacing w:val="-1"/>
        </w:rPr>
        <w:t>关于沪港通交易信息披露机制调整相关事项的通知</w:t>
      </w:r>
    </w:p>
    <w:p>
      <w:pPr>
        <w:spacing w:line="183" w:lineRule="auto"/>
        <w:sectPr>
          <w:pgSz w:w="11910" w:h="16840"/>
          <w:pgMar w:top="1" w:right="134" w:bottom="0" w:left="0" w:header="0" w:footer="0" w:gutter="0"/>
        </w:sectPr>
        <w:rPr>
          <w:rFonts w:ascii="Microsoft YaHei" w:hAnsi="Microsoft YaHei" w:eastAsia="Microsoft YaHei" w:cs="Microsoft YaHei"/>
          <w:sz w:val="24"/>
          <w:szCs w:val="24"/>
        </w:rPr>
      </w:pPr>
    </w:p>
    <w:p>
      <w:pPr>
        <w:ind w:firstLine="26"/>
        <w:spacing w:line="1137" w:lineRule="exact"/>
        <w:rPr/>
      </w:pPr>
      <w:r>
        <w:rPr>
          <w:position w:val="-22"/>
        </w:rPr>
        <w:pict>
          <v:group id="_x0000_s6" style="mso-position-vertical-relative:line;mso-position-horizontal-relative:char;width:67.85pt;height:56.9pt;" filled="false" stroked="false" coordsize="1356,1138" coordorigin="0,0">
            <v:shape id="_x0000_s8" style="position:absolute;left:0;top:0;width:1356;height:1138;" fillcolor="#A61C1F" filled="true" stroked="false" coordsize="1356,1138" coordorigin="0,0" path="m,l1356,0l1356,1137l0,1137l0,0xe"/>
            <v:shape id="_x0000_s10" style="position:absolute;left:236;top:112;width:819;height:913;" fillcolor="#FFFFFF" filled="true" stroked="false" coordsize="819,913" coordorigin="0,0" path="m595,777l223,777l213,770l213,730l223,725l595,725l605,730l605,770l595,777xm582,708l237,708l225,699l225,688l213,635l181,584l136,533l88,480l44,424l12,362l0,298l0,290l5,238l22,188l50,144l84,105l127,73l176,47l231,25l287,10l347,3l409,0l470,3l530,10l587,25l641,47l690,73l733,105l736,109l366,109l359,117l359,125l355,149l353,152l233,152l201,175l189,185l177,195l172,200l172,209l177,215l207,243l209,245l209,249l202,259l196,269l191,280l185,290l185,292l183,292l181,294l171,294l124,298l116,303l116,370l124,375l136,377l181,382l183,382l185,383l185,385l191,395l196,405l202,415l209,425l209,429l201,438l192,445l177,460l172,465l172,474l177,480l225,517l233,522l353,522l356,539l359,549l359,559l366,565l648,565l637,578l605,630l592,688l592,699l582,708xm525,183l523,182l497,172l483,168l469,165l467,165l467,163l465,160l465,149l461,137l461,125l459,117l451,109l736,109l768,144l773,152l586,152l575,154l566,158l530,182l528,182l525,183xm293,183l291,182l289,182l281,175l271,170l261,164l251,158l243,154l233,152l353,152l352,160l352,163l350,165l349,165l335,168l321,172l307,177l294,182l293,183xm686,522l586,522l647,474l645,465l640,460l625,445l617,438l608,429l608,428l610,425l616,415l621,405l627,395l632,385l632,383l635,382l638,382l683,377l693,375l703,370l703,303l693,298l683,297l648,294l638,294l635,292l632,292l632,290l627,280l621,269l616,259l610,249l608,248l608,245l610,243l640,215l645,209l647,200l640,195l628,185l616,175l592,158l586,152l773,152l795,188l812,238l818,290l818,298l805,362l773,422l729,475l686,522xm410,448l355,439l308,415l278,380l267,337l278,295l308,260l355,235l410,228l465,235l509,260l539,295l550,337l539,380l509,415l465,439l410,448xm353,522l243,522l251,515l261,510l271,505l281,500l289,494l291,492l294,492l307,498l321,503l335,505l349,509l352,512l352,515l353,522xm648,565l451,565l459,559l461,549l461,539l465,525l465,514l467,512l467,510l469,509l497,503l510,498l523,492l528,492l530,494l539,500l548,505l557,510l566,515l575,522l686,522l681,527l648,565xm560,912l257,912l247,905l247,865l257,859l560,859l570,865l570,905l560,912xm582,845l235,845l227,839l227,797l235,790l582,790l592,797l592,839l582,845e"/>
          </v:group>
        </w:pic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302" w:line="186" w:lineRule="auto"/>
        <w:rPr>
          <w:rFonts w:ascii="Microsoft YaHei" w:hAnsi="Microsoft YaHei" w:eastAsia="Microsoft YaHei" w:cs="Microsoft YaHei"/>
          <w:sz w:val="43"/>
          <w:szCs w:val="43"/>
        </w:rPr>
      </w:pPr>
      <w:r>
        <w:rPr>
          <w:rFonts w:ascii="Microsoft YaHei" w:hAnsi="Microsoft YaHei" w:eastAsia="Microsoft YaHei" w:cs="Microsoft YaHei"/>
          <w:sz w:val="43"/>
          <w:szCs w:val="43"/>
          <w:spacing w:val="7"/>
        </w:rPr>
        <w:t>监管动态</w:t>
      </w:r>
    </w:p>
    <w:p>
      <w:pPr>
        <w:spacing w:line="186" w:lineRule="auto"/>
        <w:sectPr>
          <w:pgSz w:w="11910" w:h="16840"/>
          <w:pgMar w:top="343" w:right="48" w:bottom="0" w:left="0" w:header="0" w:footer="0" w:gutter="0"/>
          <w:cols w:equalWidth="0" w:num="2">
            <w:col w:w="1580" w:space="100"/>
            <w:col w:w="10183" w:space="0"/>
          </w:cols>
        </w:sectPr>
        <w:rPr>
          <w:rFonts w:ascii="Microsoft YaHei" w:hAnsi="Microsoft YaHei" w:eastAsia="Microsoft YaHei" w:cs="Microsoft YaHei"/>
          <w:sz w:val="43"/>
          <w:szCs w:val="43"/>
        </w:rPr>
      </w:pPr>
    </w:p>
    <w:p>
      <w:pPr>
        <w:pStyle w:val="BodyText"/>
        <w:spacing w:line="479" w:lineRule="auto"/>
        <w:rPr/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column">
              <wp:posOffset>857250</wp:posOffset>
            </wp:positionH>
            <wp:positionV relativeFrom="paragraph">
              <wp:posOffset>-34404</wp:posOffset>
            </wp:positionV>
            <wp:extent cx="6675119" cy="32245"/>
            <wp:effectExtent l="0" t="0" r="0" b="0"/>
            <wp:wrapNone/>
            <wp:docPr id="14" name="IM 14"/>
            <wp:cNvGraphicFramePr/>
            <a:graphic>
              <a:graphicData uri="http://schemas.openxmlformats.org/drawingml/2006/picture">
                <pic:pic>
                  <pic:nvPicPr>
                    <pic:cNvPr id="14" name="IM 14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75119" cy="322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spacing w:line="924" w:lineRule="exact"/>
        <w:rPr/>
      </w:pPr>
      <w:r>
        <w:rPr>
          <w:position w:val="-18"/>
        </w:rPr>
        <w:pict>
          <v:group id="_x0000_s12" style="mso-position-vertical-relative:line;mso-position-horizontal-relative:char;width:134.3pt;height:46.25pt;" filled="false" stroked="false" coordsize="2686,925" coordorigin="0,0">
            <v:shape id="_x0000_s14" style="position:absolute;left:0;top:0;width:2686;height:925;" filled="false" stroked="false" type="#_x0000_t75">
              <v:imagedata o:title="" r:id="rId9"/>
            </v:shape>
            <v:shape id="_x0000_s16" style="position:absolute;left:-20;top:-20;width:2726;height:965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483"/>
                      <w:spacing w:before="249" w:line="184" w:lineRule="auto"/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  <w:b/>
                        <w:bCs/>
                        <w:color w:val="FFFFFF"/>
                        <w:spacing w:val="-2"/>
                      </w:rPr>
                      <w:t>市场监管概览</w:t>
                    </w:r>
                  </w:p>
                </w:txbxContent>
              </v:textbox>
            </v:shape>
          </v:group>
        </w:pict>
      </w:r>
    </w:p>
    <w:p>
      <w:pPr>
        <w:pStyle w:val="BodyText"/>
        <w:spacing w:line="276" w:lineRule="auto"/>
        <w:rPr/>
      </w:pPr>
      <w:r/>
    </w:p>
    <w:p>
      <w:pPr>
        <w:pStyle w:val="BodyText"/>
        <w:spacing w:line="277" w:lineRule="auto"/>
        <w:rPr/>
      </w:pPr>
      <w:r/>
    </w:p>
    <w:p>
      <w:pPr>
        <w:pStyle w:val="BodyText"/>
        <w:spacing w:line="277" w:lineRule="auto"/>
        <w:rPr/>
      </w:pPr>
      <w:r/>
    </w:p>
    <w:p>
      <w:pPr>
        <w:pStyle w:val="BodyText"/>
        <w:spacing w:line="277" w:lineRule="auto"/>
        <w:rPr/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column">
              <wp:posOffset>145414</wp:posOffset>
            </wp:positionH>
            <wp:positionV relativeFrom="paragraph">
              <wp:posOffset>123338</wp:posOffset>
            </wp:positionV>
            <wp:extent cx="3554729" cy="2089150"/>
            <wp:effectExtent l="0" t="0" r="0" b="0"/>
            <wp:wrapNone/>
            <wp:docPr id="16" name="IM 16"/>
            <wp:cNvGraphicFramePr/>
            <a:graphic>
              <a:graphicData uri="http://schemas.openxmlformats.org/drawingml/2006/picture">
                <pic:pic>
                  <pic:nvPicPr>
                    <pic:cNvPr id="16" name="IM 16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554729" cy="2089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ind w:left="6161" w:right="613" w:firstLine="488"/>
        <w:spacing w:before="103" w:line="335" w:lineRule="auto"/>
        <w:jc w:val="both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</w:rPr>
        <w:t>2024年7月22日-7月28日， 证</w:t>
      </w:r>
      <w:r>
        <w:rPr>
          <w:rFonts w:ascii="Microsoft YaHei" w:hAnsi="Microsoft YaHei" w:eastAsia="Microsoft YaHei" w:cs="Microsoft YaHei"/>
          <w:sz w:val="24"/>
          <w:szCs w:val="24"/>
          <w:spacing w:val="-1"/>
        </w:rPr>
        <w:t>监局作出8份</w:t>
      </w:r>
      <w:r>
        <w:rPr>
          <w:rFonts w:ascii="Microsoft YaHei" w:hAnsi="Microsoft YaHei" w:eastAsia="Microsoft YaHei" w:cs="Microsoft YaHei"/>
          <w:sz w:val="24"/>
          <w:szCs w:val="24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</w:rPr>
        <w:t>监管文书； 上交所作出2份监管文书； 深交所作</w:t>
      </w:r>
      <w:r>
        <w:rPr>
          <w:rFonts w:ascii="Microsoft YaHei" w:hAnsi="Microsoft YaHei" w:eastAsia="Microsoft YaHei" w:cs="Microsoft YaHei"/>
          <w:sz w:val="24"/>
          <w:szCs w:val="24"/>
          <w:spacing w:val="1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-1"/>
        </w:rPr>
        <w:t>出6份监管文书。</w:t>
      </w:r>
    </w:p>
    <w:p>
      <w:pPr>
        <w:ind w:left="6159" w:right="613" w:firstLine="490"/>
        <w:spacing w:before="38" w:line="335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</w:rPr>
        <w:t>2024年7月22日-7月28日， 证</w:t>
      </w:r>
      <w:r>
        <w:rPr>
          <w:rFonts w:ascii="Microsoft YaHei" w:hAnsi="Microsoft YaHei" w:eastAsia="Microsoft YaHei" w:cs="Microsoft YaHei"/>
          <w:sz w:val="24"/>
          <w:szCs w:val="24"/>
          <w:spacing w:val="-1"/>
        </w:rPr>
        <w:t>监局作出8份</w:t>
      </w:r>
      <w:r>
        <w:rPr>
          <w:rFonts w:ascii="Microsoft YaHei" w:hAnsi="Microsoft YaHei" w:eastAsia="Microsoft YaHei" w:cs="Microsoft YaHei"/>
          <w:sz w:val="24"/>
          <w:szCs w:val="24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-1"/>
        </w:rPr>
        <w:t>行政监管措施决定书。</w:t>
      </w:r>
    </w:p>
    <w:p>
      <w:pPr>
        <w:ind w:left="6122" w:right="522" w:firstLine="529"/>
        <w:spacing w:before="1" w:line="336" w:lineRule="auto"/>
        <w:jc w:val="both"/>
        <w:rPr>
          <w:rFonts w:ascii="Microsoft YaHei" w:hAnsi="Microsoft YaHei" w:eastAsia="Microsoft YaHei" w:cs="Microsoft YaHei"/>
          <w:sz w:val="24"/>
          <w:szCs w:val="24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column">
              <wp:posOffset>122872</wp:posOffset>
            </wp:positionH>
            <wp:positionV relativeFrom="paragraph">
              <wp:posOffset>324639</wp:posOffset>
            </wp:positionV>
            <wp:extent cx="3576320" cy="2214879"/>
            <wp:effectExtent l="0" t="0" r="0" b="0"/>
            <wp:wrapNone/>
            <wp:docPr id="18" name="IM 18"/>
            <wp:cNvGraphicFramePr/>
            <a:graphic>
              <a:graphicData uri="http://schemas.openxmlformats.org/drawingml/2006/picture">
                <pic:pic>
                  <pic:nvPicPr>
                    <pic:cNvPr id="18" name="IM 18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576320" cy="22148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hAnsi="Microsoft YaHei" w:eastAsia="Microsoft YaHei" w:cs="Microsoft YaHei"/>
          <w:sz w:val="24"/>
          <w:szCs w:val="24"/>
          <w:spacing w:val="-1"/>
        </w:rPr>
        <w:t>2024年7月22日-7月28日， 上交所公司监管</w:t>
      </w:r>
      <w:r>
        <w:rPr>
          <w:rFonts w:ascii="Microsoft YaHei" w:hAnsi="Microsoft YaHei" w:eastAsia="Microsoft YaHei" w:cs="Microsoft YaHei"/>
          <w:sz w:val="24"/>
          <w:szCs w:val="24"/>
          <w:spacing w:val="9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-3"/>
        </w:rPr>
        <w:t>部门作出2份监管警示函。</w:t>
      </w:r>
      <w:r>
        <w:rPr>
          <w:rFonts w:ascii="Microsoft YaHei" w:hAnsi="Microsoft YaHei" w:eastAsia="Microsoft YaHei" w:cs="Microsoft YaHei"/>
          <w:sz w:val="24"/>
          <w:szCs w:val="24"/>
          <w:spacing w:val="-38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-3"/>
        </w:rPr>
        <w:t>同时， 加大信息披露和</w:t>
      </w:r>
      <w:r>
        <w:rPr>
          <w:rFonts w:ascii="Microsoft YaHei" w:hAnsi="Microsoft YaHei" w:eastAsia="Microsoft YaHei" w:cs="Microsoft YaHei"/>
          <w:sz w:val="24"/>
          <w:szCs w:val="24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4"/>
        </w:rPr>
        <w:t>股价异常的联动监管， 针对公司披露敏感信息或</w:t>
      </w:r>
      <w:r>
        <w:rPr>
          <w:rFonts w:ascii="Microsoft YaHei" w:hAnsi="Microsoft YaHei" w:eastAsia="Microsoft YaHei" w:cs="Microsoft YaHei"/>
          <w:sz w:val="24"/>
          <w:szCs w:val="24"/>
          <w:spacing w:val="17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4"/>
        </w:rPr>
        <w:t>股价发生明显异常的， 提请启动内幕交易、异常</w:t>
      </w:r>
      <w:r>
        <w:rPr>
          <w:rFonts w:ascii="Microsoft YaHei" w:hAnsi="Microsoft YaHei" w:eastAsia="Microsoft YaHei" w:cs="Microsoft YaHei"/>
          <w:sz w:val="24"/>
          <w:szCs w:val="24"/>
          <w:spacing w:val="17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-1"/>
        </w:rPr>
        <w:t>交易核查6单。</w:t>
      </w:r>
    </w:p>
    <w:p>
      <w:pPr>
        <w:ind w:left="6125" w:right="613" w:firstLine="491"/>
        <w:spacing w:before="2" w:line="203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spacing w:val="1"/>
        </w:rPr>
        <w:t>2024年7月22日-7月28日， 深交所发出4份</w:t>
      </w:r>
      <w:r>
        <w:rPr>
          <w:rFonts w:ascii="Microsoft YaHei" w:hAnsi="Microsoft YaHei" w:eastAsia="Microsoft YaHei" w:cs="Microsoft YaHei"/>
          <w:sz w:val="24"/>
          <w:szCs w:val="24"/>
          <w:spacing w:val="3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-1"/>
        </w:rPr>
        <w:t>监管函,2份纪律处分措施。</w:t>
      </w:r>
    </w:p>
    <w:p>
      <w:pPr>
        <w:spacing w:line="203" w:lineRule="auto"/>
        <w:sectPr>
          <w:type w:val="continuous"/>
          <w:pgSz w:w="11910" w:h="16840"/>
          <w:pgMar w:top="343" w:right="48" w:bottom="0" w:left="0" w:header="0" w:footer="0" w:gutter="0"/>
          <w:cols w:equalWidth="0" w:num="1">
            <w:col w:w="11862" w:space="0"/>
          </w:cols>
        </w:sectPr>
        <w:rPr>
          <w:rFonts w:ascii="Microsoft YaHei" w:hAnsi="Microsoft YaHei" w:eastAsia="Microsoft YaHei" w:cs="Microsoft YaHei"/>
          <w:sz w:val="24"/>
          <w:szCs w:val="24"/>
        </w:rPr>
      </w:pPr>
    </w:p>
    <w:p>
      <w:pPr>
        <w:spacing w:line="924" w:lineRule="exact"/>
        <w:rPr/>
      </w:pPr>
      <w:r>
        <w:rPr>
          <w:position w:val="-18"/>
        </w:rPr>
        <w:pict>
          <v:group id="_x0000_s18" style="mso-position-vertical-relative:line;mso-position-horizontal-relative:char;width:188.3pt;height:46.25pt;" filled="false" stroked="false" coordsize="3766,925" coordorigin="0,0">
            <v:shape id="_x0000_s20" style="position:absolute;left:0;top:0;width:3766;height:925;" filled="false" stroked="false" type="#_x0000_t75">
              <v:imagedata o:title="" r:id="rId12"/>
            </v:shape>
            <v:shape id="_x0000_s22" style="position:absolute;left:-20;top:-20;width:3806;height:965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387"/>
                      <w:spacing w:before="241" w:line="183" w:lineRule="auto"/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  <w:b/>
                        <w:bCs/>
                        <w:color w:val="FFFFFF"/>
                        <w:spacing w:val="-1"/>
                      </w:rPr>
                      <w:t>证监会证监局监管动态</w:t>
                    </w:r>
                  </w:p>
                </w:txbxContent>
              </v:textbox>
            </v:shape>
          </v:group>
        </w:pict>
      </w:r>
    </w:p>
    <w:p>
      <w:pPr>
        <w:ind w:left="933"/>
        <w:spacing w:before="176" w:line="183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spacing w:val="-3"/>
        </w:rPr>
        <w:t>2024年7月22日-7月28日， 证监局作出8份行政监管措施决定书。</w:t>
      </w:r>
    </w:p>
    <w:p>
      <w:pPr>
        <w:ind w:left="956"/>
        <w:spacing w:before="329" w:line="225" w:lineRule="auto"/>
        <w:outlineLvl w:val="1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spacing w:val="-11"/>
        </w:rPr>
        <w:t>（1） 行政监管措施</w:t>
      </w:r>
    </w:p>
    <w:p>
      <w:pPr>
        <w:spacing w:line="184" w:lineRule="exact"/>
        <w:rPr/>
      </w:pPr>
      <w:r/>
    </w:p>
    <w:tbl>
      <w:tblPr>
        <w:tblStyle w:val="TableNormal"/>
        <w:tblW w:w="8053" w:type="dxa"/>
        <w:tblInd w:w="1827" w:type="dxa"/>
        <w:tblLayout w:type="fixed"/>
        <w:tblBorders>
          <w:top w:val="single" w:color="4F81BD" w:sz="6" w:space="0"/>
          <w:left w:val="single" w:color="4F81BD" w:sz="6" w:space="0"/>
          <w:bottom w:val="single" w:color="4F81BD" w:sz="6" w:space="0"/>
          <w:right w:val="single" w:color="4F81BD" w:sz="6" w:space="0"/>
          <w:insideH w:val="single" w:color="4F81BD" w:sz="6" w:space="0"/>
          <w:insideV w:val="single" w:color="4F81BD" w:sz="6" w:space="0"/>
        </w:tblBorders>
      </w:tblPr>
      <w:tblGrid>
        <w:gridCol w:w="1214"/>
        <w:gridCol w:w="1343"/>
        <w:gridCol w:w="5496"/>
      </w:tblGrid>
      <w:tr>
        <w:trPr>
          <w:trHeight w:val="387" w:hRule="atLeast"/>
        </w:trPr>
        <w:tc>
          <w:tcPr>
            <w:shd w:val="clear" w:fill="4F81BD"/>
            <w:tcW w:w="1214" w:type="dxa"/>
            <w:vAlign w:val="top"/>
            <w:tcBorders>
              <w:bottom w:val="single" w:color="FFFFFF" w:sz="2" w:space="0"/>
            </w:tcBorders>
          </w:tcPr>
          <w:p>
            <w:pPr>
              <w:pStyle w:val="TableText"/>
              <w:ind w:left="182"/>
              <w:spacing w:before="111" w:line="186" w:lineRule="auto"/>
              <w:rPr/>
            </w:pPr>
            <w:r>
              <w:rPr>
                <w:b/>
                <w:bCs/>
                <w:color w:val="FFFFFF"/>
                <w:spacing w:val="8"/>
              </w:rPr>
              <w:t>公司代码</w:t>
            </w:r>
          </w:p>
        </w:tc>
        <w:tc>
          <w:tcPr>
            <w:shd w:val="clear" w:fill="4F81BD"/>
            <w:tcW w:w="1343" w:type="dxa"/>
            <w:vAlign w:val="top"/>
            <w:tcBorders>
              <w:bottom w:val="single" w:color="FFFFFF" w:sz="2" w:space="0"/>
            </w:tcBorders>
          </w:tcPr>
          <w:p>
            <w:pPr>
              <w:pStyle w:val="TableText"/>
              <w:ind w:left="242"/>
              <w:spacing w:before="111" w:line="186" w:lineRule="auto"/>
              <w:rPr/>
            </w:pPr>
            <w:r>
              <w:rPr>
                <w:b/>
                <w:bCs/>
                <w:color w:val="FFFFFF"/>
                <w:spacing w:val="8"/>
              </w:rPr>
              <w:t>公司简称</w:t>
            </w:r>
          </w:p>
        </w:tc>
        <w:tc>
          <w:tcPr>
            <w:shd w:val="clear" w:fill="4F81BD"/>
            <w:tcW w:w="5496" w:type="dxa"/>
            <w:vAlign w:val="top"/>
            <w:tcBorders>
              <w:bottom w:val="single" w:color="FFFFFF" w:sz="2" w:space="0"/>
            </w:tcBorders>
          </w:tcPr>
          <w:p>
            <w:pPr>
              <w:pStyle w:val="TableText"/>
              <w:ind w:left="2321"/>
              <w:spacing w:before="111" w:line="186" w:lineRule="auto"/>
              <w:rPr/>
            </w:pPr>
            <w:r>
              <w:rPr>
                <w:b/>
                <w:bCs/>
                <w:color w:val="FFFFFF"/>
                <w:spacing w:val="8"/>
              </w:rPr>
              <w:t>违规行为</w:t>
            </w:r>
          </w:p>
        </w:tc>
      </w:tr>
      <w:tr>
        <w:trPr>
          <w:trHeight w:val="1090" w:hRule="atLeast"/>
        </w:trPr>
        <w:tc>
          <w:tcPr>
            <w:shd w:val="clear" w:fill="B8CCE4"/>
            <w:tcW w:w="1214" w:type="dxa"/>
            <w:vAlign w:val="top"/>
            <w:tcBorders>
              <w:top w:val="single" w:color="FFFFFF" w:sz="2" w:space="0"/>
            </w:tcBorders>
          </w:tcPr>
          <w:p>
            <w:pPr>
              <w:spacing w:line="37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7"/>
              <w:spacing w:before="86" w:line="178" w:lineRule="auto"/>
              <w:rPr/>
            </w:pPr>
            <w:r>
              <w:rPr>
                <w:spacing w:val="3"/>
              </w:rPr>
              <w:t>002723</w:t>
            </w:r>
          </w:p>
        </w:tc>
        <w:tc>
          <w:tcPr>
            <w:shd w:val="clear" w:fill="B8CCE4"/>
            <w:tcW w:w="1343" w:type="dxa"/>
            <w:vAlign w:val="top"/>
            <w:tcBorders>
              <w:top w:val="single" w:color="FFFFFF" w:sz="2" w:space="0"/>
            </w:tcBorders>
          </w:tcPr>
          <w:p>
            <w:pPr>
              <w:spacing w:line="35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2"/>
              <w:spacing w:before="85" w:line="188" w:lineRule="auto"/>
              <w:rPr/>
            </w:pPr>
            <w:r>
              <w:rPr>
                <w:spacing w:val="8"/>
              </w:rPr>
              <w:t>小崧股份</w:t>
            </w:r>
          </w:p>
        </w:tc>
        <w:tc>
          <w:tcPr>
            <w:shd w:val="clear" w:fill="B8CCE4"/>
            <w:tcW w:w="5496" w:type="dxa"/>
            <w:vAlign w:val="top"/>
            <w:tcBorders>
              <w:top w:val="single" w:color="FFFFFF" w:sz="2" w:space="0"/>
            </w:tcBorders>
          </w:tcPr>
          <w:p>
            <w:pPr>
              <w:pStyle w:val="TableText"/>
              <w:ind w:left="101"/>
              <w:spacing w:before="86" w:line="190" w:lineRule="auto"/>
              <w:rPr/>
            </w:pPr>
            <w:r>
              <w:rPr>
                <w:spacing w:val="8"/>
              </w:rPr>
              <w:t>小崧股份由盈转亏未按规定在2024年1月31日前披露</w:t>
            </w:r>
          </w:p>
          <w:p>
            <w:pPr>
              <w:pStyle w:val="TableText"/>
              <w:ind w:left="100" w:right="201" w:firstLine="9"/>
              <w:spacing w:before="89" w:line="221" w:lineRule="auto"/>
              <w:rPr/>
            </w:pPr>
            <w:r>
              <w:rPr>
                <w:spacing w:val="6"/>
              </w:rPr>
              <w:t>2023年度</w:t>
            </w:r>
            <w:r>
              <w:rPr>
                <w:b/>
                <w:bCs/>
                <w:spacing w:val="6"/>
              </w:rPr>
              <w:t>业绩预告， </w:t>
            </w:r>
            <w:r>
              <w:rPr>
                <w:spacing w:val="6"/>
              </w:rPr>
              <w:t>且截至公司2023年年报发</w:t>
            </w:r>
            <w:r>
              <w:rPr>
                <w:spacing w:val="5"/>
              </w:rPr>
              <w:t>布也未披</w:t>
            </w:r>
            <w:r>
              <w:rPr/>
              <w:t xml:space="preserve"> </w:t>
            </w:r>
            <w:r>
              <w:rPr>
                <w:spacing w:val="8"/>
              </w:rPr>
              <w:t>露相关业绩预告。</w:t>
            </w:r>
          </w:p>
        </w:tc>
      </w:tr>
      <w:tr>
        <w:trPr>
          <w:trHeight w:val="724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06" w:right="105" w:firstLine="14"/>
              <w:spacing w:before="39" w:line="236" w:lineRule="auto"/>
              <w:rPr/>
            </w:pPr>
            <w:r>
              <w:rPr>
                <w:b/>
                <w:bCs/>
                <w:spacing w:val="10"/>
              </w:rPr>
              <w:t>【行政监管措施】</w:t>
            </w:r>
            <w:r>
              <w:rPr>
                <w:b/>
                <w:bCs/>
                <w:spacing w:val="-20"/>
              </w:rPr>
              <w:t xml:space="preserve"> </w:t>
            </w:r>
            <w:r>
              <w:rPr>
                <w:spacing w:val="10"/>
              </w:rPr>
              <w:t>中国证券监督管理委员会广东监管局决定对小崧股份、董事长彭某</w:t>
            </w:r>
            <w:r>
              <w:rPr/>
              <w:t xml:space="preserve"> </w:t>
            </w:r>
            <w:r>
              <w:rPr>
                <w:spacing w:val="9"/>
              </w:rPr>
              <w:t>宇、总经理卢某山、财务总监温某采取出具警示函的行政监管措施。</w:t>
            </w:r>
          </w:p>
        </w:tc>
      </w:tr>
      <w:tr>
        <w:trPr>
          <w:trHeight w:val="364" w:hRule="atLeast"/>
        </w:trPr>
        <w:tc>
          <w:tcPr>
            <w:shd w:val="clear" w:fill="B8CCE4"/>
            <w:tcW w:w="1214" w:type="dxa"/>
            <w:vAlign w:val="top"/>
          </w:tcPr>
          <w:p>
            <w:pPr>
              <w:pStyle w:val="TableText"/>
              <w:ind w:left="240"/>
              <w:spacing w:before="99" w:line="178" w:lineRule="auto"/>
              <w:rPr/>
            </w:pPr>
            <w:r>
              <w:rPr>
                <w:spacing w:val="3"/>
              </w:rPr>
              <w:t>688350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pStyle w:val="TableText"/>
              <w:ind w:left="250"/>
              <w:spacing w:before="83" w:line="189" w:lineRule="auto"/>
              <w:rPr/>
            </w:pPr>
            <w:r>
              <w:rPr>
                <w:spacing w:val="6"/>
              </w:rPr>
              <w:t>富淼科技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109"/>
              <w:spacing w:before="85" w:line="188" w:lineRule="auto"/>
              <w:rPr/>
            </w:pPr>
            <w:r>
              <w:rPr>
                <w:spacing w:val="7"/>
              </w:rPr>
              <w:t>时任董事配偶</w:t>
            </w:r>
            <w:r>
              <w:rPr>
                <w:b/>
                <w:bCs/>
                <w:spacing w:val="7"/>
              </w:rPr>
              <w:t>短线交易。</w:t>
            </w:r>
          </w:p>
        </w:tc>
      </w:tr>
      <w:tr>
        <w:trPr>
          <w:trHeight w:val="725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04" w:right="167" w:firstLine="16"/>
              <w:spacing w:before="40" w:line="236" w:lineRule="auto"/>
              <w:rPr/>
            </w:pPr>
            <w:r>
              <w:rPr>
                <w:b/>
                <w:bCs/>
                <w:spacing w:val="9"/>
              </w:rPr>
              <w:t>【行政监管措施】</w:t>
            </w:r>
            <w:r>
              <w:rPr>
                <w:b/>
                <w:bCs/>
                <w:spacing w:val="-31"/>
              </w:rPr>
              <w:t xml:space="preserve"> </w:t>
            </w:r>
            <w:r>
              <w:rPr>
                <w:spacing w:val="9"/>
              </w:rPr>
              <w:t>中国证券监督管理委员会江苏监管</w:t>
            </w:r>
            <w:r>
              <w:rPr>
                <w:spacing w:val="8"/>
              </w:rPr>
              <w:t>局决定对董事吴某元采取出具警</w:t>
            </w:r>
            <w:r>
              <w:rPr/>
              <w:t xml:space="preserve"> </w:t>
            </w:r>
            <w:r>
              <w:rPr>
                <w:spacing w:val="9"/>
              </w:rPr>
              <w:t>示函的行政监管措施,并记入证券期货市场诚信档案。</w:t>
            </w:r>
          </w:p>
        </w:tc>
      </w:tr>
      <w:tr>
        <w:trPr>
          <w:trHeight w:val="365" w:hRule="atLeast"/>
        </w:trPr>
        <w:tc>
          <w:tcPr>
            <w:shd w:val="clear" w:fill="B8CCE4"/>
            <w:tcW w:w="1214" w:type="dxa"/>
            <w:vAlign w:val="top"/>
          </w:tcPr>
          <w:p>
            <w:pPr>
              <w:pStyle w:val="TableText"/>
              <w:ind w:left="237"/>
              <w:spacing w:before="100" w:line="178" w:lineRule="auto"/>
              <w:rPr/>
            </w:pPr>
            <w:r>
              <w:rPr>
                <w:spacing w:val="3"/>
              </w:rPr>
              <w:t>002172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pStyle w:val="TableText"/>
              <w:ind w:left="241"/>
              <w:spacing w:before="86" w:line="188" w:lineRule="auto"/>
              <w:rPr/>
            </w:pPr>
            <w:r>
              <w:rPr>
                <w:spacing w:val="8"/>
              </w:rPr>
              <w:t>澳洋健康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109"/>
              <w:spacing w:before="86" w:line="188" w:lineRule="auto"/>
              <w:rPr/>
            </w:pPr>
            <w:r>
              <w:rPr>
                <w:spacing w:val="7"/>
              </w:rPr>
              <w:t>时任独董亲属</w:t>
            </w:r>
            <w:r>
              <w:rPr>
                <w:b/>
                <w:bCs/>
                <w:spacing w:val="7"/>
              </w:rPr>
              <w:t>短线交易</w:t>
            </w:r>
            <w:r>
              <w:rPr>
                <w:spacing w:val="7"/>
              </w:rPr>
              <w:t>。</w:t>
            </w:r>
          </w:p>
        </w:tc>
      </w:tr>
      <w:tr>
        <w:trPr>
          <w:trHeight w:val="724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04" w:right="167" w:firstLine="16"/>
              <w:spacing w:before="41" w:line="235" w:lineRule="auto"/>
              <w:rPr/>
            </w:pPr>
            <w:r>
              <w:rPr>
                <w:b/>
                <w:bCs/>
                <w:spacing w:val="9"/>
              </w:rPr>
              <w:t>【行政监管措施】</w:t>
            </w:r>
            <w:r>
              <w:rPr>
                <w:b/>
                <w:bCs/>
                <w:spacing w:val="-31"/>
              </w:rPr>
              <w:t xml:space="preserve"> </w:t>
            </w:r>
            <w:r>
              <w:rPr>
                <w:spacing w:val="9"/>
              </w:rPr>
              <w:t>中国证券监督管理委员会江苏监管</w:t>
            </w:r>
            <w:r>
              <w:rPr>
                <w:spacing w:val="8"/>
              </w:rPr>
              <w:t>局决定对独董周某信采取出具警</w:t>
            </w:r>
            <w:r>
              <w:rPr/>
              <w:t xml:space="preserve"> </w:t>
            </w:r>
            <w:r>
              <w:rPr>
                <w:spacing w:val="9"/>
              </w:rPr>
              <w:t>示函的行政监管措施,并记入证券期货市场诚信档案。</w:t>
            </w:r>
          </w:p>
        </w:tc>
      </w:tr>
      <w:tr>
        <w:trPr>
          <w:trHeight w:val="725" w:hRule="atLeast"/>
        </w:trPr>
        <w:tc>
          <w:tcPr>
            <w:shd w:val="clear" w:fill="B8CCE4"/>
            <w:tcW w:w="1214" w:type="dxa"/>
            <w:vAlign w:val="top"/>
          </w:tcPr>
          <w:p>
            <w:pPr>
              <w:pStyle w:val="TableText"/>
              <w:ind w:left="240"/>
              <w:spacing w:before="280" w:line="178" w:lineRule="auto"/>
              <w:rPr/>
            </w:pPr>
            <w:r>
              <w:rPr>
                <w:spacing w:val="3"/>
              </w:rPr>
              <w:t>603595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pStyle w:val="TableText"/>
              <w:ind w:left="240"/>
              <w:spacing w:before="265" w:line="189" w:lineRule="auto"/>
              <w:rPr/>
            </w:pPr>
            <w:r>
              <w:rPr>
                <w:spacing w:val="8"/>
              </w:rPr>
              <w:t>东尼电子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100" w:right="105" w:firstLine="9"/>
              <w:spacing w:before="88" w:line="219" w:lineRule="auto"/>
              <w:rPr/>
            </w:pPr>
            <w:r>
              <w:rPr>
                <w:spacing w:val="8"/>
              </w:rPr>
              <w:t>2022年</w:t>
            </w:r>
            <w:r>
              <w:rPr>
                <w:b/>
                <w:bCs/>
                <w:spacing w:val="8"/>
              </w:rPr>
              <w:t>年度报告</w:t>
            </w:r>
            <w:r>
              <w:rPr>
                <w:spacing w:val="8"/>
              </w:rPr>
              <w:t>、</w:t>
            </w:r>
            <w:r>
              <w:rPr>
                <w:spacing w:val="-24"/>
              </w:rPr>
              <w:t xml:space="preserve"> </w:t>
            </w:r>
            <w:r>
              <w:rPr>
                <w:spacing w:val="8"/>
              </w:rPr>
              <w:t>2023年</w:t>
            </w:r>
            <w:r>
              <w:rPr>
                <w:b/>
                <w:bCs/>
                <w:spacing w:val="8"/>
              </w:rPr>
              <w:t>半年报</w:t>
            </w:r>
            <w:r>
              <w:rPr>
                <w:spacing w:val="8"/>
              </w:rPr>
              <w:t>信息披露不准确； </w:t>
            </w:r>
            <w:r>
              <w:rPr>
                <w:b/>
                <w:bCs/>
                <w:spacing w:val="8"/>
              </w:rPr>
              <w:t>业绩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  <w:spacing w:val="9"/>
              </w:rPr>
              <w:t>预告</w:t>
            </w:r>
            <w:r>
              <w:rPr>
                <w:spacing w:val="9"/>
              </w:rPr>
              <w:t>相关信息披露不准确、更正不及时。</w:t>
            </w:r>
          </w:p>
        </w:tc>
      </w:tr>
      <w:tr>
        <w:trPr>
          <w:trHeight w:val="1085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04" w:right="167" w:firstLine="17"/>
              <w:spacing w:before="45"/>
              <w:rPr/>
            </w:pPr>
            <w:r>
              <w:rPr>
                <w:b/>
                <w:bCs/>
                <w:spacing w:val="9"/>
              </w:rPr>
              <w:t>【行政监管措施】</w:t>
            </w:r>
            <w:r>
              <w:rPr>
                <w:b/>
                <w:bCs/>
                <w:spacing w:val="-31"/>
              </w:rPr>
              <w:t xml:space="preserve"> </w:t>
            </w:r>
            <w:r>
              <w:rPr>
                <w:spacing w:val="9"/>
              </w:rPr>
              <w:t>中国证券监督管理委员会浙江监管</w:t>
            </w:r>
            <w:r>
              <w:rPr>
                <w:spacing w:val="8"/>
              </w:rPr>
              <w:t>局决定对公司、董事长沈某芳、</w:t>
            </w:r>
            <w:r>
              <w:rPr/>
              <w:t xml:space="preserve"> </w:t>
            </w:r>
            <w:r>
              <w:rPr>
                <w:spacing w:val="9"/>
              </w:rPr>
              <w:t>总经理沈某宇、时任董秘罗某斌、董事会秘书翁某怡、</w:t>
            </w:r>
            <w:r>
              <w:rPr>
                <w:spacing w:val="-28"/>
              </w:rPr>
              <w:t xml:space="preserve"> </w:t>
            </w:r>
            <w:r>
              <w:rPr>
                <w:spacing w:val="9"/>
              </w:rPr>
              <w:t>时任财务总监钟某琴、财务总</w:t>
            </w:r>
            <w:r>
              <w:rPr/>
              <w:t xml:space="preserve"> </w:t>
            </w:r>
            <w:r>
              <w:rPr>
                <w:spacing w:val="8"/>
              </w:rPr>
              <w:t>监杨某分别采取出具警示函的监督管理措施，</w:t>
            </w:r>
            <w:r>
              <w:rPr>
                <w:spacing w:val="7"/>
              </w:rPr>
              <w:t xml:space="preserve"> 并记入证券期货市场诚信档案。</w:t>
            </w:r>
          </w:p>
        </w:tc>
      </w:tr>
      <w:tr>
        <w:trPr>
          <w:trHeight w:val="724" w:hRule="atLeast"/>
        </w:trPr>
        <w:tc>
          <w:tcPr>
            <w:shd w:val="clear" w:fill="B8CCE4"/>
            <w:tcW w:w="1214" w:type="dxa"/>
            <w:vAlign w:val="top"/>
          </w:tcPr>
          <w:p>
            <w:pPr>
              <w:pStyle w:val="TableText"/>
              <w:ind w:left="243"/>
              <w:spacing w:before="280" w:line="179" w:lineRule="auto"/>
              <w:rPr/>
            </w:pPr>
            <w:r>
              <w:rPr>
                <w:spacing w:val="3"/>
              </w:rPr>
              <w:t>300419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pStyle w:val="TableText"/>
              <w:ind w:left="241"/>
              <w:spacing w:before="266" w:line="189" w:lineRule="auto"/>
              <w:rPr/>
            </w:pPr>
            <w:r>
              <w:rPr>
                <w:spacing w:val="8"/>
              </w:rPr>
              <w:t>浩丰科技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99" w:right="105" w:firstLine="1"/>
              <w:spacing w:before="87" w:line="219" w:lineRule="auto"/>
              <w:rPr/>
            </w:pPr>
            <w:r>
              <w:rPr>
                <w:spacing w:val="11"/>
              </w:rPr>
              <w:t>北京浩丰创源科技股份有限公司</w:t>
            </w:r>
            <w:r>
              <w:rPr>
                <w:b/>
                <w:bCs/>
                <w:spacing w:val="11"/>
              </w:rPr>
              <w:t>预告业绩</w:t>
            </w:r>
            <w:r>
              <w:rPr>
                <w:spacing w:val="11"/>
              </w:rPr>
              <w:t>与实际业绩差异</w:t>
            </w:r>
            <w:r>
              <w:rPr/>
              <w:t xml:space="preserve"> </w:t>
            </w:r>
            <w:r>
              <w:rPr>
                <w:spacing w:val="8"/>
              </w:rPr>
              <w:t>金额较大,且盈亏性质发生变化,信息披露不准确。</w:t>
            </w:r>
          </w:p>
        </w:tc>
      </w:tr>
      <w:tr>
        <w:trPr>
          <w:trHeight w:val="1085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03" w:right="167" w:firstLine="18"/>
              <w:spacing w:before="45"/>
              <w:jc w:val="both"/>
              <w:rPr/>
            </w:pPr>
            <w:r>
              <w:rPr>
                <w:b/>
                <w:bCs/>
                <w:spacing w:val="9"/>
              </w:rPr>
              <w:t>【行政监管措施</w:t>
            </w:r>
            <w:r>
              <w:rPr>
                <w:spacing w:val="9"/>
              </w:rPr>
              <w:t>】</w:t>
            </w:r>
            <w:r>
              <w:rPr>
                <w:spacing w:val="-31"/>
              </w:rPr>
              <w:t xml:space="preserve"> </w:t>
            </w:r>
            <w:r>
              <w:rPr>
                <w:spacing w:val="9"/>
              </w:rPr>
              <w:t>中国证券监督管理委员会北京监管</w:t>
            </w:r>
            <w:r>
              <w:rPr>
                <w:spacing w:val="8"/>
              </w:rPr>
              <w:t>局决定对北京浩丰创源科技股份</w:t>
            </w:r>
            <w:r>
              <w:rPr/>
              <w:t xml:space="preserve"> </w:t>
            </w:r>
            <w:r>
              <w:rPr>
                <w:spacing w:val="10"/>
              </w:rPr>
              <w:t>有限公司、董事长王某、总经理陈某、财务总监张某萍采取出具警示函的</w:t>
            </w:r>
            <w:r>
              <w:rPr>
                <w:spacing w:val="9"/>
              </w:rPr>
              <w:t>行政监管措</w:t>
            </w:r>
            <w:r>
              <w:rPr/>
              <w:t xml:space="preserve"> </w:t>
            </w:r>
            <w:r>
              <w:rPr>
                <w:spacing w:val="3"/>
              </w:rPr>
              <w:t>施。</w:t>
            </w:r>
          </w:p>
        </w:tc>
      </w:tr>
      <w:tr>
        <w:trPr>
          <w:trHeight w:val="1156" w:hRule="atLeast"/>
        </w:trPr>
        <w:tc>
          <w:tcPr>
            <w:shd w:val="clear" w:fill="B8CCE4"/>
            <w:tcW w:w="1214" w:type="dxa"/>
            <w:vAlign w:val="top"/>
          </w:tcPr>
          <w:p>
            <w:pPr>
              <w:spacing w:line="40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7"/>
              <w:spacing w:before="86" w:line="179" w:lineRule="auto"/>
              <w:rPr/>
            </w:pPr>
            <w:r>
              <w:rPr>
                <w:spacing w:val="3"/>
              </w:rPr>
              <w:t>002812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spacing w:line="39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1"/>
              <w:spacing w:before="86" w:line="188" w:lineRule="auto"/>
              <w:rPr/>
            </w:pPr>
            <w:r>
              <w:rPr>
                <w:spacing w:val="8"/>
              </w:rPr>
              <w:t>恩捷股份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100" w:right="134"/>
              <w:spacing w:before="163" w:line="229" w:lineRule="auto"/>
              <w:jc w:val="both"/>
              <w:rPr/>
            </w:pPr>
            <w:r>
              <w:rPr>
                <w:spacing w:val="9"/>
              </w:rPr>
              <w:t>恩捷股份</w:t>
            </w:r>
            <w:r>
              <w:rPr>
                <w:b/>
                <w:bCs/>
                <w:spacing w:val="9"/>
              </w:rPr>
              <w:t>实际控制人家族的一致行动人</w:t>
            </w:r>
            <w:r>
              <w:rPr>
                <w:spacing w:val="9"/>
              </w:rPr>
              <w:t>及权益信息披露不</w:t>
            </w:r>
            <w:r>
              <w:rPr>
                <w:spacing w:val="18"/>
              </w:rPr>
              <w:t xml:space="preserve"> </w:t>
            </w:r>
            <w:r>
              <w:rPr>
                <w:spacing w:val="7"/>
              </w:rPr>
              <w:t>准确； 未按规定及时披露简式权益变动报告书并停止买卖</w:t>
            </w:r>
            <w:r>
              <w:rPr>
                <w:spacing w:val="4"/>
              </w:rPr>
              <w:t xml:space="preserve"> </w:t>
            </w:r>
            <w:r>
              <w:rPr>
                <w:spacing w:val="4"/>
              </w:rPr>
              <w:t>公司股票； 超比例违规减持股份。</w:t>
            </w:r>
          </w:p>
        </w:tc>
      </w:tr>
      <w:tr>
        <w:trPr>
          <w:trHeight w:val="725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04" w:right="105" w:firstLine="17"/>
              <w:spacing w:before="48" w:line="233" w:lineRule="auto"/>
              <w:rPr/>
            </w:pPr>
            <w:r>
              <w:rPr>
                <w:b/>
                <w:bCs/>
                <w:spacing w:val="10"/>
              </w:rPr>
              <w:t>【行政监管措施】</w:t>
            </w:r>
            <w:r>
              <w:rPr>
                <w:b/>
                <w:bCs/>
                <w:spacing w:val="-20"/>
              </w:rPr>
              <w:t xml:space="preserve"> </w:t>
            </w:r>
            <w:r>
              <w:rPr>
                <w:spacing w:val="10"/>
              </w:rPr>
              <w:t>中国证券监督管理委员会云南监管局决定对股东及其一致行动人采</w:t>
            </w:r>
            <w:r>
              <w:rPr/>
              <w:t xml:space="preserve"> </w:t>
            </w:r>
            <w:r>
              <w:rPr>
                <w:spacing w:val="7"/>
              </w:rPr>
              <w:t>取责令改正并出具警示函的行政监管措施， 并记入证券期货市场诚信档案。</w:t>
            </w:r>
          </w:p>
        </w:tc>
      </w:tr>
      <w:tr>
        <w:trPr>
          <w:trHeight w:val="2164" w:hRule="atLeast"/>
        </w:trPr>
        <w:tc>
          <w:tcPr>
            <w:shd w:val="clear" w:fill="B8CCE4"/>
            <w:tcW w:w="1214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  <w:r/>
          </w:p>
          <w:p>
            <w:pPr>
              <w:spacing w:line="305" w:lineRule="auto"/>
              <w:rPr>
                <w:rFonts w:ascii="Arial"/>
                <w:sz w:val="21"/>
              </w:rPr>
            </w:pPr>
            <w:r/>
          </w:p>
          <w:p>
            <w:pPr>
              <w:spacing w:line="30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7"/>
              <w:spacing w:before="86" w:line="179" w:lineRule="auto"/>
              <w:rPr/>
            </w:pPr>
            <w:r>
              <w:rPr>
                <w:spacing w:val="3"/>
              </w:rPr>
              <w:t>002812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  <w:r/>
          </w:p>
          <w:p>
            <w:pPr>
              <w:spacing w:line="301" w:lineRule="auto"/>
              <w:rPr>
                <w:rFonts w:ascii="Arial"/>
                <w:sz w:val="21"/>
              </w:rPr>
            </w:pPr>
            <w:r/>
          </w:p>
          <w:p>
            <w:pPr>
              <w:spacing w:line="30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1"/>
              <w:spacing w:before="86" w:line="188" w:lineRule="auto"/>
              <w:rPr/>
            </w:pPr>
            <w:r>
              <w:rPr>
                <w:spacing w:val="8"/>
              </w:rPr>
              <w:t>恩捷股份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99" w:right="103" w:firstLine="3"/>
              <w:spacing w:before="95"/>
              <w:jc w:val="both"/>
              <w:rPr/>
            </w:pPr>
            <w:r>
              <w:rPr>
                <w:spacing w:val="8"/>
              </w:rPr>
              <w:t>云南恩捷新材料股份有限公司上市以来， </w:t>
            </w:r>
            <w:r>
              <w:rPr>
                <w:b/>
                <w:bCs/>
                <w:spacing w:val="8"/>
              </w:rPr>
              <w:t>实际控制人家族</w:t>
            </w:r>
            <w:r>
              <w:rPr>
                <w:b/>
                <w:bCs/>
                <w:spacing w:val="4"/>
              </w:rPr>
              <w:t xml:space="preserve"> </w:t>
            </w:r>
            <w:r>
              <w:rPr>
                <w:b/>
                <w:bCs/>
                <w:spacing w:val="11"/>
              </w:rPr>
              <w:t>未准确认定一致行动人范围</w:t>
            </w:r>
            <w:r>
              <w:rPr>
                <w:spacing w:val="11"/>
              </w:rPr>
              <w:t>并报告云南恩捷新材料股份有</w:t>
            </w:r>
            <w:r>
              <w:rPr/>
              <w:t xml:space="preserve"> </w:t>
            </w:r>
            <w:r>
              <w:rPr>
                <w:spacing w:val="8"/>
              </w:rPr>
              <w:t>限公司， 云南恩捷新材料股份有限公司在信息披露管理过</w:t>
            </w:r>
            <w:r>
              <w:rPr>
                <w:spacing w:val="10"/>
              </w:rPr>
              <w:t xml:space="preserve"> </w:t>
            </w:r>
            <w:r>
              <w:rPr>
                <w:spacing w:val="8"/>
              </w:rPr>
              <w:t>程中未发现同一信息存在前后不一致的情况， 导致多次定</w:t>
            </w:r>
            <w:r>
              <w:rPr>
                <w:spacing w:val="10"/>
              </w:rPr>
              <w:t xml:space="preserve"> </w:t>
            </w:r>
            <w:r>
              <w:rPr>
                <w:spacing w:val="10"/>
              </w:rPr>
              <w:t>期报告、</w:t>
            </w:r>
            <w:r>
              <w:rPr>
                <w:spacing w:val="-32"/>
              </w:rPr>
              <w:t xml:space="preserve"> </w:t>
            </w:r>
            <w:r>
              <w:rPr>
                <w:spacing w:val="10"/>
              </w:rPr>
              <w:t>临时报告等信息披露文件中披露的实际控制人家</w:t>
            </w:r>
            <w:r>
              <w:rPr/>
              <w:t xml:space="preserve"> </w:t>
            </w:r>
            <w:r>
              <w:rPr>
                <w:spacing w:val="9"/>
              </w:rPr>
              <w:t>族的一致行动人相关信息不准确。</w:t>
            </w:r>
          </w:p>
        </w:tc>
      </w:tr>
      <w:tr>
        <w:trPr>
          <w:trHeight w:val="725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14" w:right="167" w:firstLine="6"/>
              <w:spacing w:before="51" w:line="232" w:lineRule="auto"/>
              <w:rPr/>
            </w:pPr>
            <w:r>
              <w:rPr>
                <w:b/>
                <w:bCs/>
                <w:spacing w:val="9"/>
              </w:rPr>
              <w:t>【行政监管措施】</w:t>
            </w:r>
            <w:r>
              <w:rPr>
                <w:b/>
                <w:bCs/>
                <w:spacing w:val="-31"/>
              </w:rPr>
              <w:t xml:space="preserve"> </w:t>
            </w:r>
            <w:r>
              <w:rPr>
                <w:spacing w:val="9"/>
              </w:rPr>
              <w:t>中国证券监督管理委员会云南监管</w:t>
            </w:r>
            <w:r>
              <w:rPr>
                <w:spacing w:val="8"/>
              </w:rPr>
              <w:t>局决定对云南恩捷新材料股份有</w:t>
            </w:r>
            <w:r>
              <w:rPr/>
              <w:t xml:space="preserve"> </w:t>
            </w:r>
            <w:r>
              <w:rPr>
                <w:spacing w:val="7"/>
              </w:rPr>
              <w:t>限公司采取责令改正并出具警示函的行政监管措施， 并记入证券期货市场诚信档案。</w:t>
            </w:r>
          </w:p>
        </w:tc>
      </w:tr>
      <w:tr>
        <w:trPr>
          <w:trHeight w:val="732" w:hRule="atLeast"/>
        </w:trPr>
        <w:tc>
          <w:tcPr>
            <w:shd w:val="clear" w:fill="B8CCE4"/>
            <w:tcW w:w="1214" w:type="dxa"/>
            <w:vAlign w:val="top"/>
          </w:tcPr>
          <w:p>
            <w:pPr>
              <w:pStyle w:val="TableText"/>
              <w:ind w:left="243"/>
              <w:spacing w:before="289" w:line="178" w:lineRule="auto"/>
              <w:rPr/>
            </w:pPr>
            <w:r>
              <w:rPr>
                <w:spacing w:val="3"/>
              </w:rPr>
              <w:t>300052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pStyle w:val="TableText"/>
              <w:ind w:left="361"/>
              <w:spacing w:before="274" w:line="189" w:lineRule="auto"/>
              <w:rPr/>
            </w:pPr>
            <w:r>
              <w:rPr>
                <w:spacing w:val="3"/>
              </w:rPr>
              <w:t>中青宝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114" w:right="102" w:hanging="13"/>
              <w:spacing w:before="92" w:line="220" w:lineRule="auto"/>
              <w:rPr/>
            </w:pPr>
            <w:r>
              <w:rPr>
                <w:spacing w:val="11"/>
              </w:rPr>
              <w:t>深圳中青宝互动网络股份有限公司</w:t>
            </w:r>
            <w:r>
              <w:rPr>
                <w:b/>
                <w:bCs/>
                <w:spacing w:val="11"/>
              </w:rPr>
              <w:t>实际控制人因涉嫌</w:t>
            </w:r>
            <w:r>
              <w:rPr>
                <w:b/>
                <w:bCs/>
                <w:spacing w:val="10"/>
              </w:rPr>
              <w:t>犯罪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  <w:spacing w:val="8"/>
              </w:rPr>
              <w:t>已被依法采取强制措施</w:t>
            </w:r>
            <w:r>
              <w:rPr>
                <w:spacing w:val="8"/>
              </w:rPr>
              <w:t>， 深圳中青宝互动网络</w:t>
            </w:r>
            <w:r>
              <w:rPr>
                <w:spacing w:val="7"/>
              </w:rPr>
              <w:t>股份有限公</w:t>
            </w:r>
          </w:p>
        </w:tc>
      </w:tr>
    </w:tbl>
    <w:p>
      <w:pPr>
        <w:pStyle w:val="BodyText"/>
        <w:rPr/>
      </w:pPr>
      <w:r/>
    </w:p>
    <w:p>
      <w:pPr>
        <w:sectPr>
          <w:pgSz w:w="11910" w:h="16840"/>
          <w:pgMar w:top="400" w:right="1786" w:bottom="0" w:left="0" w:header="0" w:footer="0" w:gutter="0"/>
        </w:sectPr>
        <w:rPr/>
      </w:pPr>
    </w:p>
    <w:tbl>
      <w:tblPr>
        <w:tblStyle w:val="TableNormal"/>
        <w:tblW w:w="8053" w:type="dxa"/>
        <w:tblInd w:w="41" w:type="dxa"/>
        <w:tblLayout w:type="fixed"/>
        <w:tblBorders>
          <w:top w:val="single" w:color="4F81BD" w:sz="6" w:space="0"/>
          <w:left w:val="single" w:color="4F81BD" w:sz="6" w:space="0"/>
          <w:bottom w:val="single" w:color="4F81BD" w:sz="6" w:space="0"/>
          <w:right w:val="single" w:color="4F81BD" w:sz="6" w:space="0"/>
          <w:insideH w:val="single" w:color="4F81BD" w:sz="6" w:space="0"/>
          <w:insideV w:val="single" w:color="4F81BD" w:sz="6" w:space="0"/>
        </w:tblBorders>
      </w:tblPr>
      <w:tblGrid>
        <w:gridCol w:w="1214"/>
        <w:gridCol w:w="1343"/>
        <w:gridCol w:w="5496"/>
      </w:tblGrid>
      <w:tr>
        <w:trPr>
          <w:trHeight w:val="737" w:hRule="atLeast"/>
        </w:trPr>
        <w:tc>
          <w:tcPr>
            <w:shd w:val="clear" w:fill="B8CCE4"/>
            <w:tcW w:w="1214" w:type="dxa"/>
            <w:vAlign w:val="top"/>
            <w:tcBorders>
              <w:top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shd w:val="clear" w:fill="B8CCE4"/>
            <w:tcW w:w="1343" w:type="dxa"/>
            <w:vAlign w:val="top"/>
            <w:tcBorders>
              <w:top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shd w:val="clear" w:fill="B8CCE4"/>
            <w:tcW w:w="5496" w:type="dxa"/>
            <w:vAlign w:val="top"/>
            <w:tcBorders>
              <w:top w:val="single" w:color="FFFFFF" w:sz="2" w:space="0"/>
            </w:tcBorders>
          </w:tcPr>
          <w:p>
            <w:pPr>
              <w:pStyle w:val="TableText"/>
              <w:ind w:left="99" w:right="103" w:firstLine="4"/>
              <w:spacing w:before="103" w:line="218" w:lineRule="auto"/>
              <w:rPr/>
            </w:pPr>
            <w:r>
              <w:rPr>
                <w:spacing w:val="11"/>
              </w:rPr>
              <w:t>司在知悉实际控制人被采取强制措施后未及时披露相</w:t>
            </w:r>
            <w:r>
              <w:rPr>
                <w:spacing w:val="10"/>
              </w:rPr>
              <w:t>关事</w:t>
            </w:r>
            <w:r>
              <w:rPr/>
              <w:t xml:space="preserve"> </w:t>
            </w:r>
            <w:r>
              <w:rPr>
                <w:spacing w:val="3"/>
              </w:rPr>
              <w:t>项。</w:t>
            </w:r>
          </w:p>
        </w:tc>
      </w:tr>
      <w:tr>
        <w:trPr>
          <w:trHeight w:val="728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03" w:right="167" w:firstLine="17"/>
              <w:spacing w:before="45" w:line="235" w:lineRule="auto"/>
              <w:rPr/>
            </w:pPr>
            <w:r>
              <w:rPr>
                <w:b/>
                <w:bCs/>
                <w:spacing w:val="9"/>
              </w:rPr>
              <w:t>【行政监管措施】</w:t>
            </w:r>
            <w:r>
              <w:rPr>
                <w:b/>
                <w:bCs/>
                <w:spacing w:val="-31"/>
              </w:rPr>
              <w:t xml:space="preserve"> </w:t>
            </w:r>
            <w:r>
              <w:rPr>
                <w:spacing w:val="9"/>
              </w:rPr>
              <w:t>中国证券监督管理委员会深圳监管</w:t>
            </w:r>
            <w:r>
              <w:rPr>
                <w:spacing w:val="8"/>
              </w:rPr>
              <w:t>局决定对深圳中青宝互动网络股</w:t>
            </w:r>
            <w:r>
              <w:rPr/>
              <w:t xml:space="preserve"> </w:t>
            </w:r>
            <w:r>
              <w:rPr>
                <w:spacing w:val="9"/>
              </w:rPr>
              <w:t>份有限公司采取责令改正的行政监管措施。</w:t>
            </w:r>
          </w:p>
        </w:tc>
      </w:tr>
    </w:tbl>
    <w:p>
      <w:pPr>
        <w:pStyle w:val="BodyText"/>
        <w:rPr/>
      </w:pPr>
      <w:r/>
    </w:p>
    <w:p>
      <w:pPr>
        <w:sectPr>
          <w:pgSz w:w="11910" w:h="16840"/>
          <w:pgMar w:top="400" w:right="1786" w:bottom="0" w:left="1786" w:header="0" w:footer="0" w:gutter="0"/>
        </w:sectPr>
        <w:rPr/>
      </w:pPr>
    </w:p>
    <w:p>
      <w:pPr>
        <w:pStyle w:val="BodyText"/>
        <w:spacing w:line="375" w:lineRule="auto"/>
        <w:rPr/>
      </w:pPr>
      <w:r/>
    </w:p>
    <w:p>
      <w:pPr>
        <w:spacing w:line="924" w:lineRule="exact"/>
        <w:rPr/>
      </w:pPr>
      <w:r>
        <w:rPr>
          <w:position w:val="-18"/>
        </w:rPr>
        <w:pict>
          <v:group id="_x0000_s24" style="mso-position-vertical-relative:line;mso-position-horizontal-relative:char;width:134.8pt;height:46.25pt;" filled="false" stroked="false" coordsize="2696,925" coordorigin="0,0">
            <v:shape id="_x0000_s26" style="position:absolute;left:0;top:0;width:2696;height:925;" filled="false" stroked="false" type="#_x0000_t75">
              <v:imagedata o:title="" r:id="rId13"/>
            </v:shape>
            <v:shape id="_x0000_s28" style="position:absolute;left:-20;top:-20;width:2736;height:965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373"/>
                      <w:spacing w:before="243" w:line="183" w:lineRule="auto"/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  <w:b/>
                        <w:bCs/>
                        <w:color w:val="FFFFFF"/>
                        <w:spacing w:val="-1"/>
                      </w:rPr>
                      <w:t>上交所监管动态</w:t>
                    </w:r>
                  </w:p>
                </w:txbxContent>
              </v:textbox>
            </v:shape>
          </v:group>
        </w:pict>
      </w:r>
    </w:p>
    <w:p>
      <w:pPr>
        <w:ind w:left="902"/>
        <w:spacing w:before="149" w:line="183" w:lineRule="auto"/>
        <w:outlineLvl w:val="0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spacing w:val="-7"/>
        </w:rPr>
        <w:t>1、上市公司监管动态</w:t>
      </w:r>
    </w:p>
    <w:p>
      <w:pPr>
        <w:ind w:left="443" w:firstLine="489"/>
        <w:spacing w:before="173" w:line="359" w:lineRule="auto"/>
        <w:jc w:val="both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spacing w:val="-2"/>
        </w:rPr>
        <w:t>2024年7月22日-7月28日， 上交所公司监管部门作出</w:t>
      </w:r>
      <w:r>
        <w:rPr>
          <w:rFonts w:ascii="Microsoft YaHei" w:hAnsi="Microsoft YaHei" w:eastAsia="Microsoft YaHei" w:cs="Microsoft YaHei"/>
          <w:sz w:val="24"/>
          <w:szCs w:val="24"/>
          <w:spacing w:val="-3"/>
        </w:rPr>
        <w:t>2份监管警示函。</w:t>
      </w:r>
      <w:r>
        <w:rPr>
          <w:rFonts w:ascii="Microsoft YaHei" w:hAnsi="Microsoft YaHei" w:eastAsia="Microsoft YaHei" w:cs="Microsoft YaHei"/>
          <w:sz w:val="24"/>
          <w:szCs w:val="24"/>
          <w:spacing w:val="-48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-3"/>
        </w:rPr>
        <w:t>同时， 加大信息披露和股价</w:t>
      </w:r>
      <w:r>
        <w:rPr>
          <w:rFonts w:ascii="Microsoft YaHei" w:hAnsi="Microsoft YaHei" w:eastAsia="Microsoft YaHei" w:cs="Microsoft YaHei"/>
          <w:sz w:val="24"/>
          <w:szCs w:val="24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</w:rPr>
        <w:t>异常的联动监管， 针对公司披露敏感信息或股价发生明显异常</w:t>
      </w:r>
      <w:r>
        <w:rPr>
          <w:rFonts w:ascii="Microsoft YaHei" w:hAnsi="Microsoft YaHei" w:eastAsia="Microsoft YaHei" w:cs="Microsoft YaHei"/>
          <w:sz w:val="24"/>
          <w:szCs w:val="24"/>
          <w:spacing w:val="-1"/>
        </w:rPr>
        <w:t>的， 提请启动内幕交易、异常交易核查6</w:t>
      </w:r>
      <w:r>
        <w:rPr>
          <w:rFonts w:ascii="Microsoft YaHei" w:hAnsi="Microsoft YaHei" w:eastAsia="Microsoft YaHei" w:cs="Microsoft YaHei"/>
          <w:sz w:val="24"/>
          <w:szCs w:val="24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-3"/>
        </w:rPr>
        <w:t>单。</w:t>
      </w:r>
    </w:p>
    <w:p>
      <w:pPr>
        <w:pStyle w:val="BodyText"/>
        <w:spacing w:line="268" w:lineRule="auto"/>
        <w:rPr/>
      </w:pPr>
      <w:r/>
    </w:p>
    <w:p>
      <w:pPr>
        <w:ind w:firstLine="1731"/>
        <w:spacing w:line="5184" w:lineRule="exact"/>
        <w:rPr/>
      </w:pPr>
      <w:r>
        <w:rPr>
          <w:position w:val="-103"/>
        </w:rPr>
        <w:drawing>
          <wp:inline distT="0" distB="0" distL="0" distR="0">
            <wp:extent cx="5495925" cy="3291840"/>
            <wp:effectExtent l="0" t="0" r="0" b="0"/>
            <wp:docPr id="20" name="IM 20"/>
            <wp:cNvGraphicFramePr/>
            <a:graphic>
              <a:graphicData uri="http://schemas.openxmlformats.org/drawingml/2006/picture">
                <pic:pic>
                  <pic:nvPicPr>
                    <pic:cNvPr id="20" name="IM 20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495925" cy="3291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303" w:lineRule="auto"/>
        <w:rPr/>
      </w:pPr>
      <w:r/>
    </w:p>
    <w:p>
      <w:pPr>
        <w:pStyle w:val="BodyText"/>
        <w:spacing w:line="303" w:lineRule="auto"/>
        <w:rPr/>
      </w:pPr>
      <w:r/>
    </w:p>
    <w:p>
      <w:pPr>
        <w:ind w:left="956"/>
        <w:spacing w:before="104" w:line="225" w:lineRule="auto"/>
        <w:outlineLvl w:val="1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spacing w:val="-11"/>
        </w:rPr>
        <w:t>（1） 监管措施统计</w:t>
      </w:r>
    </w:p>
    <w:p>
      <w:pPr>
        <w:spacing w:line="211" w:lineRule="exact"/>
        <w:rPr/>
      </w:pPr>
      <w:r/>
    </w:p>
    <w:tbl>
      <w:tblPr>
        <w:tblStyle w:val="TableNormal"/>
        <w:tblW w:w="8819" w:type="dxa"/>
        <w:tblInd w:w="1665" w:type="dxa"/>
        <w:tblLayout w:type="fixed"/>
        <w:tblBorders>
          <w:top w:val="single" w:color="C0504D" w:sz="6" w:space="0"/>
          <w:left w:val="single" w:color="C0504D" w:sz="6" w:space="0"/>
          <w:bottom w:val="single" w:color="C0504D" w:sz="6" w:space="0"/>
          <w:right w:val="single" w:color="C0504D" w:sz="6" w:space="0"/>
          <w:insideH w:val="single" w:color="C0504D" w:sz="6" w:space="0"/>
          <w:insideV w:val="single" w:color="C0504D" w:sz="6" w:space="0"/>
        </w:tblBorders>
      </w:tblPr>
      <w:tblGrid>
        <w:gridCol w:w="1276"/>
        <w:gridCol w:w="1215"/>
        <w:gridCol w:w="1324"/>
        <w:gridCol w:w="5004"/>
      </w:tblGrid>
      <w:tr>
        <w:trPr>
          <w:trHeight w:val="376" w:hRule="atLeast"/>
        </w:trPr>
        <w:tc>
          <w:tcPr>
            <w:shd w:val="clear" w:fill="C0504D"/>
            <w:tcW w:w="1276" w:type="dxa"/>
            <w:vAlign w:val="top"/>
            <w:tcBorders>
              <w:bottom w:val="single" w:color="FFFFFF" w:sz="10" w:space="0"/>
            </w:tcBorders>
          </w:tcPr>
          <w:p>
            <w:pPr>
              <w:pStyle w:val="TableText"/>
              <w:ind w:left="212"/>
              <w:spacing w:before="91" w:line="189" w:lineRule="auto"/>
              <w:rPr/>
            </w:pPr>
            <w:r>
              <w:rPr>
                <w:b/>
                <w:bCs/>
                <w:color w:val="FFFFFF"/>
                <w:spacing w:val="8"/>
              </w:rPr>
              <w:t>公司代码</w:t>
            </w:r>
          </w:p>
        </w:tc>
        <w:tc>
          <w:tcPr>
            <w:shd w:val="clear" w:fill="C0504D"/>
            <w:tcW w:w="1215" w:type="dxa"/>
            <w:vAlign w:val="top"/>
            <w:tcBorders>
              <w:bottom w:val="single" w:color="FFFFFF" w:sz="10" w:space="0"/>
            </w:tcBorders>
          </w:tcPr>
          <w:p>
            <w:pPr>
              <w:pStyle w:val="TableText"/>
              <w:ind w:left="179"/>
              <w:spacing w:before="91" w:line="189" w:lineRule="auto"/>
              <w:rPr/>
            </w:pPr>
            <w:r>
              <w:rPr>
                <w:b/>
                <w:bCs/>
                <w:color w:val="FFFFFF"/>
                <w:spacing w:val="8"/>
              </w:rPr>
              <w:t>公司简称</w:t>
            </w:r>
          </w:p>
        </w:tc>
        <w:tc>
          <w:tcPr>
            <w:shd w:val="clear" w:fill="C0504D"/>
            <w:tcW w:w="1324" w:type="dxa"/>
            <w:vAlign w:val="top"/>
            <w:tcBorders>
              <w:bottom w:val="single" w:color="FFFFFF" w:sz="10" w:space="0"/>
            </w:tcBorders>
          </w:tcPr>
          <w:p>
            <w:pPr>
              <w:pStyle w:val="TableText"/>
              <w:ind w:left="246"/>
              <w:spacing w:before="92" w:line="188" w:lineRule="auto"/>
              <w:rPr/>
            </w:pPr>
            <w:r>
              <w:rPr>
                <w:b/>
                <w:bCs/>
                <w:color w:val="FFFFFF"/>
                <w:spacing w:val="5"/>
              </w:rPr>
              <w:t>函件类别</w:t>
            </w:r>
          </w:p>
        </w:tc>
        <w:tc>
          <w:tcPr>
            <w:shd w:val="clear" w:fill="C0504D"/>
            <w:tcW w:w="5004" w:type="dxa"/>
            <w:vAlign w:val="top"/>
            <w:tcBorders>
              <w:bottom w:val="single" w:color="FFFFFF" w:sz="10" w:space="0"/>
            </w:tcBorders>
          </w:tcPr>
          <w:p>
            <w:pPr>
              <w:pStyle w:val="TableText"/>
              <w:ind w:left="2074"/>
              <w:spacing w:before="91" w:line="189" w:lineRule="auto"/>
              <w:rPr/>
            </w:pPr>
            <w:r>
              <w:rPr>
                <w:b/>
                <w:bCs/>
                <w:color w:val="FFFFFF"/>
                <w:spacing w:val="8"/>
              </w:rPr>
              <w:t>违规类型</w:t>
            </w:r>
          </w:p>
        </w:tc>
      </w:tr>
      <w:tr>
        <w:trPr>
          <w:trHeight w:val="715" w:hRule="atLeast"/>
        </w:trPr>
        <w:tc>
          <w:tcPr>
            <w:tcW w:w="1276" w:type="dxa"/>
            <w:vAlign w:val="top"/>
            <w:tcBorders>
              <w:top w:val="single" w:color="FFFFFF" w:sz="10" w:space="0"/>
            </w:tcBorders>
          </w:tcPr>
          <w:p>
            <w:pPr>
              <w:pStyle w:val="TableText"/>
              <w:ind w:left="270"/>
              <w:spacing w:before="96" w:line="178" w:lineRule="auto"/>
              <w:rPr/>
            </w:pPr>
            <w:r>
              <w:rPr>
                <w:spacing w:val="3"/>
              </w:rPr>
              <w:t>603045</w:t>
            </w:r>
          </w:p>
        </w:tc>
        <w:tc>
          <w:tcPr>
            <w:tcW w:w="1215" w:type="dxa"/>
            <w:vAlign w:val="top"/>
            <w:tcBorders>
              <w:top w:val="single" w:color="FFFFFF" w:sz="10" w:space="0"/>
            </w:tcBorders>
          </w:tcPr>
          <w:p>
            <w:pPr>
              <w:pStyle w:val="TableText"/>
              <w:ind w:left="178"/>
              <w:spacing w:before="81" w:line="189" w:lineRule="auto"/>
              <w:rPr/>
            </w:pPr>
            <w:r>
              <w:rPr>
                <w:spacing w:val="8"/>
              </w:rPr>
              <w:t>福达合金</w:t>
            </w:r>
          </w:p>
        </w:tc>
        <w:tc>
          <w:tcPr>
            <w:tcW w:w="1324" w:type="dxa"/>
            <w:vAlign w:val="top"/>
            <w:tcBorders>
              <w:top w:val="single" w:color="FFFFFF" w:sz="10" w:space="0"/>
            </w:tcBorders>
          </w:tcPr>
          <w:p>
            <w:pPr>
              <w:pStyle w:val="TableText"/>
              <w:ind w:left="236"/>
              <w:spacing w:before="81" w:line="189" w:lineRule="auto"/>
              <w:rPr/>
            </w:pPr>
            <w:r>
              <w:rPr>
                <w:spacing w:val="8"/>
              </w:rPr>
              <w:t>监管警示</w:t>
            </w:r>
          </w:p>
        </w:tc>
        <w:tc>
          <w:tcPr>
            <w:tcW w:w="5004" w:type="dxa"/>
            <w:vAlign w:val="top"/>
            <w:tcBorders>
              <w:top w:val="single" w:color="FFFFFF" w:sz="10" w:space="0"/>
            </w:tcBorders>
          </w:tcPr>
          <w:p>
            <w:pPr>
              <w:pStyle w:val="TableText"/>
              <w:ind w:left="3" w:right="159" w:hanging="1"/>
              <w:spacing w:before="81" w:line="218" w:lineRule="auto"/>
              <w:rPr/>
            </w:pPr>
            <w:r>
              <w:rPr>
                <w:spacing w:val="9"/>
              </w:rPr>
              <w:t>公司未及时披露公司实际控制人、时任董事长及其一</w:t>
            </w:r>
            <w:r>
              <w:rPr>
                <w:spacing w:val="18"/>
              </w:rPr>
              <w:t xml:space="preserve"> </w:t>
            </w:r>
            <w:r>
              <w:rPr>
                <w:spacing w:val="8"/>
              </w:rPr>
              <w:t>致行动人的</w:t>
            </w:r>
            <w:r>
              <w:rPr>
                <w:b/>
                <w:bCs/>
                <w:spacing w:val="8"/>
              </w:rPr>
              <w:t>持股情况</w:t>
            </w:r>
            <w:r>
              <w:rPr>
                <w:spacing w:val="8"/>
              </w:rPr>
              <w:t>相关信息。</w:t>
            </w:r>
          </w:p>
        </w:tc>
      </w:tr>
      <w:tr>
        <w:trPr>
          <w:trHeight w:val="729" w:hRule="atLeast"/>
        </w:trPr>
        <w:tc>
          <w:tcPr>
            <w:shd w:val="clear" w:fill="F2DCDC"/>
            <w:tcW w:w="1276" w:type="dxa"/>
            <w:vAlign w:val="top"/>
          </w:tcPr>
          <w:p>
            <w:pPr>
              <w:pStyle w:val="TableText"/>
              <w:ind w:left="270"/>
              <w:spacing w:before="105" w:line="178" w:lineRule="auto"/>
              <w:rPr/>
            </w:pPr>
            <w:r>
              <w:rPr>
                <w:spacing w:val="3"/>
              </w:rPr>
              <w:t>603458</w:t>
            </w:r>
          </w:p>
        </w:tc>
        <w:tc>
          <w:tcPr>
            <w:shd w:val="clear" w:fill="F2DCDC"/>
            <w:tcW w:w="1215" w:type="dxa"/>
            <w:vAlign w:val="top"/>
          </w:tcPr>
          <w:p>
            <w:pPr>
              <w:pStyle w:val="TableText"/>
              <w:ind w:left="180"/>
              <w:spacing w:before="91" w:line="188" w:lineRule="auto"/>
              <w:rPr/>
            </w:pPr>
            <w:r>
              <w:rPr>
                <w:spacing w:val="8"/>
              </w:rPr>
              <w:t>勘设股份</w:t>
            </w:r>
          </w:p>
        </w:tc>
        <w:tc>
          <w:tcPr>
            <w:shd w:val="clear" w:fill="F2DCDC"/>
            <w:tcW w:w="1324" w:type="dxa"/>
            <w:vAlign w:val="top"/>
          </w:tcPr>
          <w:p>
            <w:pPr>
              <w:pStyle w:val="TableText"/>
              <w:ind w:left="236"/>
              <w:spacing w:before="90" w:line="189" w:lineRule="auto"/>
              <w:rPr/>
            </w:pPr>
            <w:r>
              <w:rPr>
                <w:spacing w:val="8"/>
              </w:rPr>
              <w:t>监管警示</w:t>
            </w:r>
          </w:p>
        </w:tc>
        <w:tc>
          <w:tcPr>
            <w:shd w:val="clear" w:fill="F2DCDC"/>
            <w:tcW w:w="5004" w:type="dxa"/>
            <w:vAlign w:val="top"/>
          </w:tcPr>
          <w:p>
            <w:pPr>
              <w:pStyle w:val="TableText"/>
              <w:ind w:left="3" w:right="159" w:hanging="1"/>
              <w:spacing w:before="89" w:line="220" w:lineRule="auto"/>
              <w:rPr/>
            </w:pPr>
            <w:r>
              <w:rPr>
                <w:spacing w:val="7"/>
              </w:rPr>
              <w:t>公司前期部分</w:t>
            </w:r>
            <w:r>
              <w:rPr>
                <w:b/>
                <w:bCs/>
                <w:spacing w:val="7"/>
              </w:rPr>
              <w:t>会计处理存在差错</w:t>
            </w:r>
            <w:r>
              <w:rPr>
                <w:spacing w:val="7"/>
              </w:rPr>
              <w:t>， 导致定期报告</w:t>
            </w:r>
            <w:r>
              <w:rPr>
                <w:spacing w:val="6"/>
              </w:rPr>
              <w:t>相关</w:t>
            </w:r>
            <w:r>
              <w:rPr/>
              <w:t xml:space="preserve"> </w:t>
            </w:r>
            <w:r>
              <w:rPr>
                <w:spacing w:val="8"/>
              </w:rPr>
              <w:t>财务信息披露不准确。</w:t>
            </w:r>
          </w:p>
        </w:tc>
      </w:tr>
    </w:tbl>
    <w:p>
      <w:pPr>
        <w:pStyle w:val="BodyText"/>
        <w:spacing w:line="457" w:lineRule="auto"/>
        <w:rPr/>
      </w:pPr>
      <w:r/>
    </w:p>
    <w:p>
      <w:pPr>
        <w:ind w:left="956"/>
        <w:spacing w:before="103" w:line="225" w:lineRule="auto"/>
        <w:outlineLvl w:val="1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spacing w:val="-12"/>
        </w:rPr>
        <w:t>（2） 问询函统计</w:t>
      </w:r>
    </w:p>
    <w:p>
      <w:pPr>
        <w:ind w:left="933"/>
        <w:spacing w:before="149" w:line="183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spacing w:val="-3"/>
        </w:rPr>
        <w:t>2024年7月22日-7月28日， 上交所官网查询到1份监管问询函。</w:t>
      </w:r>
    </w:p>
    <w:p>
      <w:pPr>
        <w:spacing w:before="19"/>
        <w:rPr/>
      </w:pPr>
      <w:r/>
    </w:p>
    <w:p>
      <w:pPr>
        <w:spacing w:before="18"/>
        <w:rPr/>
      </w:pPr>
      <w:r/>
    </w:p>
    <w:tbl>
      <w:tblPr>
        <w:tblStyle w:val="TableNormal"/>
        <w:tblW w:w="8802" w:type="dxa"/>
        <w:tblInd w:w="1658" w:type="dxa"/>
        <w:tblLayout w:type="fixed"/>
        <w:tblBorders>
          <w:top w:val="single" w:color="C0504D" w:sz="6" w:space="0"/>
          <w:left w:val="single" w:color="C0504D" w:sz="6" w:space="0"/>
          <w:bottom w:val="single" w:color="C0504D" w:sz="6" w:space="0"/>
          <w:right w:val="single" w:color="C0504D" w:sz="6" w:space="0"/>
          <w:insideH w:val="single" w:color="C0504D" w:sz="6" w:space="0"/>
          <w:insideV w:val="single" w:color="C0504D" w:sz="6" w:space="0"/>
        </w:tblBorders>
      </w:tblPr>
      <w:tblGrid>
        <w:gridCol w:w="1276"/>
        <w:gridCol w:w="1215"/>
        <w:gridCol w:w="6311"/>
      </w:tblGrid>
      <w:tr>
        <w:trPr>
          <w:trHeight w:val="372" w:hRule="atLeast"/>
        </w:trPr>
        <w:tc>
          <w:tcPr>
            <w:shd w:val="clear" w:fill="C0504D"/>
            <w:tcW w:w="1276" w:type="dxa"/>
            <w:vAlign w:val="top"/>
            <w:tcBorders>
              <w:bottom w:val="single" w:color="FFFFFF" w:sz="10" w:space="0"/>
            </w:tcBorders>
          </w:tcPr>
          <w:p>
            <w:pPr>
              <w:pStyle w:val="TableText"/>
              <w:ind w:left="212"/>
              <w:spacing w:before="91" w:line="189" w:lineRule="auto"/>
              <w:rPr/>
            </w:pPr>
            <w:r>
              <w:rPr>
                <w:b/>
                <w:bCs/>
                <w:color w:val="FFFFFF"/>
                <w:spacing w:val="8"/>
              </w:rPr>
              <w:t>公司代码</w:t>
            </w:r>
          </w:p>
        </w:tc>
        <w:tc>
          <w:tcPr>
            <w:shd w:val="clear" w:fill="C0504D"/>
            <w:tcW w:w="1215" w:type="dxa"/>
            <w:vAlign w:val="top"/>
            <w:tcBorders>
              <w:bottom w:val="single" w:color="FFFFFF" w:sz="10" w:space="0"/>
            </w:tcBorders>
          </w:tcPr>
          <w:p>
            <w:pPr>
              <w:pStyle w:val="TableText"/>
              <w:ind w:left="179"/>
              <w:spacing w:before="93" w:line="188" w:lineRule="auto"/>
              <w:rPr/>
            </w:pPr>
            <w:r>
              <w:rPr>
                <w:b/>
                <w:bCs/>
                <w:color w:val="FFFFFF"/>
                <w:spacing w:val="8"/>
              </w:rPr>
              <w:t>公司简称</w:t>
            </w:r>
          </w:p>
        </w:tc>
        <w:tc>
          <w:tcPr>
            <w:shd w:val="clear" w:fill="C0504D"/>
            <w:tcW w:w="6311" w:type="dxa"/>
            <w:vAlign w:val="top"/>
            <w:tcBorders>
              <w:bottom w:val="single" w:color="FFFFFF" w:sz="10" w:space="0"/>
            </w:tcBorders>
          </w:tcPr>
          <w:p>
            <w:pPr>
              <w:pStyle w:val="TableText"/>
              <w:ind w:left="2739"/>
              <w:spacing w:before="93" w:line="188" w:lineRule="auto"/>
              <w:rPr/>
            </w:pPr>
            <w:r>
              <w:rPr>
                <w:b/>
                <w:bCs/>
                <w:color w:val="FFFFFF"/>
                <w:spacing w:val="5"/>
              </w:rPr>
              <w:t>函件类别</w:t>
            </w:r>
          </w:p>
        </w:tc>
      </w:tr>
      <w:tr>
        <w:trPr>
          <w:trHeight w:val="362" w:hRule="atLeast"/>
        </w:trPr>
        <w:tc>
          <w:tcPr>
            <w:tcW w:w="1276" w:type="dxa"/>
            <w:vAlign w:val="top"/>
            <w:tcBorders>
              <w:top w:val="single" w:color="FFFFFF" w:sz="10" w:space="0"/>
            </w:tcBorders>
          </w:tcPr>
          <w:p>
            <w:pPr>
              <w:pStyle w:val="TableText"/>
              <w:ind w:left="270"/>
              <w:spacing w:before="97" w:line="178" w:lineRule="auto"/>
              <w:rPr/>
            </w:pPr>
            <w:r>
              <w:rPr>
                <w:spacing w:val="3"/>
              </w:rPr>
              <w:t>603356</w:t>
            </w:r>
          </w:p>
        </w:tc>
        <w:tc>
          <w:tcPr>
            <w:tcW w:w="1215" w:type="dxa"/>
            <w:vAlign w:val="top"/>
            <w:tcBorders>
              <w:top w:val="single" w:color="FFFFFF" w:sz="10" w:space="0"/>
            </w:tcBorders>
          </w:tcPr>
          <w:p>
            <w:pPr>
              <w:pStyle w:val="TableText"/>
              <w:ind w:left="179"/>
              <w:spacing w:before="84" w:line="187" w:lineRule="auto"/>
              <w:rPr/>
            </w:pPr>
            <w:r>
              <w:rPr>
                <w:spacing w:val="8"/>
              </w:rPr>
              <w:t>华菱精工</w:t>
            </w:r>
          </w:p>
        </w:tc>
        <w:tc>
          <w:tcPr>
            <w:tcW w:w="6311" w:type="dxa"/>
            <w:vAlign w:val="top"/>
            <w:tcBorders>
              <w:top w:val="single" w:color="FFFFFF" w:sz="10" w:space="0"/>
            </w:tcBorders>
          </w:tcPr>
          <w:p>
            <w:pPr>
              <w:pStyle w:val="TableText"/>
              <w:ind w:left="2845"/>
              <w:spacing w:before="83" w:line="188" w:lineRule="auto"/>
              <w:rPr/>
            </w:pPr>
            <w:r>
              <w:rPr>
                <w:spacing w:val="4"/>
              </w:rPr>
              <w:t>问询函</w:t>
            </w:r>
          </w:p>
        </w:tc>
      </w:tr>
    </w:tbl>
    <w:p>
      <w:pPr>
        <w:pStyle w:val="BodyText"/>
        <w:rPr/>
      </w:pPr>
      <w:r/>
    </w:p>
    <w:p>
      <w:pPr>
        <w:sectPr>
          <w:pgSz w:w="11910" w:h="16840"/>
          <w:pgMar w:top="400" w:right="639" w:bottom="0" w:left="0" w:header="0" w:footer="0" w:gutter="0"/>
        </w:sectPr>
        <w:rPr/>
      </w:pPr>
    </w:p>
    <w:p>
      <w:pPr>
        <w:ind w:left="530"/>
        <w:spacing w:before="97" w:line="183" w:lineRule="auto"/>
        <w:outlineLvl w:val="0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spacing w:val="-2"/>
        </w:rPr>
        <w:t>2、市场交易监管动态</w:t>
      </w:r>
    </w:p>
    <w:p>
      <w:pPr>
        <w:ind w:firstLine="491"/>
        <w:spacing w:before="130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spacing w:val="-2"/>
        </w:rPr>
        <w:t>2024年7月22日-7月28日， 上交所对82起拉抬打压、虚假申报等证券异常交易行为采取了书面警示</w:t>
      </w:r>
      <w:r>
        <w:rPr>
          <w:rFonts w:ascii="Microsoft YaHei" w:hAnsi="Microsoft YaHei" w:eastAsia="Microsoft YaHei" w:cs="Microsoft YaHei"/>
          <w:sz w:val="24"/>
          <w:szCs w:val="24"/>
          <w:spacing w:val="14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-3"/>
        </w:rPr>
        <w:t>等监管措施， 对15起上市公司重大事项等进行专项核查， 向证监会上报涉嫌违法违规案件</w:t>
      </w:r>
      <w:r>
        <w:rPr>
          <w:rFonts w:ascii="Microsoft YaHei" w:hAnsi="Microsoft YaHei" w:eastAsia="Microsoft YaHei" w:cs="Microsoft YaHei"/>
          <w:sz w:val="24"/>
          <w:szCs w:val="24"/>
          <w:spacing w:val="-4"/>
        </w:rPr>
        <w:t>线索1起。</w:t>
      </w:r>
    </w:p>
    <w:p>
      <w:pPr>
        <w:sectPr>
          <w:pgSz w:w="11910" w:h="16840"/>
          <w:pgMar w:top="400" w:right="558" w:bottom="0" w:left="442" w:header="0" w:footer="0" w:gutter="0"/>
        </w:sectPr>
        <w:rPr>
          <w:rFonts w:ascii="Microsoft YaHei" w:hAnsi="Microsoft YaHei" w:eastAsia="Microsoft YaHei" w:cs="Microsoft YaHei"/>
          <w:sz w:val="24"/>
          <w:szCs w:val="24"/>
        </w:rPr>
      </w:pPr>
    </w:p>
    <w:p>
      <w:pPr>
        <w:pStyle w:val="BodyText"/>
        <w:spacing w:line="293" w:lineRule="auto"/>
        <w:rPr/>
      </w:pPr>
      <w:r/>
    </w:p>
    <w:p>
      <w:pPr>
        <w:pStyle w:val="BodyText"/>
        <w:spacing w:line="294" w:lineRule="auto"/>
        <w:rPr/>
      </w:pPr>
      <w:r/>
    </w:p>
    <w:p>
      <w:pPr>
        <w:spacing w:line="924" w:lineRule="exact"/>
        <w:rPr/>
      </w:pPr>
      <w:r>
        <w:rPr>
          <w:position w:val="-18"/>
        </w:rPr>
        <w:pict>
          <v:group id="_x0000_s30" style="mso-position-vertical-relative:line;mso-position-horizontal-relative:char;width:134.8pt;height:46.25pt;" filled="false" stroked="false" coordsize="2696,925" coordorigin="0,0">
            <v:shape id="_x0000_s32" style="position:absolute;left:0;top:0;width:2696;height:925;" filled="false" stroked="false" type="#_x0000_t75">
              <v:imagedata o:title="" r:id="rId13"/>
            </v:shape>
            <v:shape id="_x0000_s34" style="position:absolute;left:-20;top:-20;width:2736;height:965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366"/>
                      <w:spacing w:before="248" w:line="183" w:lineRule="auto"/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  <w:b/>
                        <w:bCs/>
                        <w:color w:val="FFFFFF"/>
                        <w:spacing w:val="-1"/>
                      </w:rPr>
                      <w:t>深交所监管动态</w:t>
                    </w:r>
                  </w:p>
                </w:txbxContent>
              </v:textbox>
            </v:shape>
          </v:group>
        </w:pict>
      </w:r>
    </w:p>
    <w:p>
      <w:pPr>
        <w:ind w:left="902"/>
        <w:spacing w:before="329" w:line="183" w:lineRule="auto"/>
        <w:outlineLvl w:val="0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spacing w:val="-3"/>
        </w:rPr>
        <w:t>1、上市公司监管动态</w:t>
      </w:r>
    </w:p>
    <w:p>
      <w:pPr>
        <w:ind w:left="933"/>
        <w:spacing w:before="170" w:line="183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spacing w:val="-2"/>
        </w:rPr>
        <w:t>2024年7月22日-7月28日， 深交所发出4份监管</w:t>
      </w:r>
      <w:r>
        <w:rPr>
          <w:rFonts w:ascii="Microsoft YaHei" w:hAnsi="Microsoft YaHei" w:eastAsia="Microsoft YaHei" w:cs="Microsoft YaHei"/>
          <w:sz w:val="24"/>
          <w:szCs w:val="24"/>
          <w:spacing w:val="-3"/>
        </w:rPr>
        <w:t>函,2份纪律处分措施。</w:t>
      </w:r>
    </w:p>
    <w:p>
      <w:pPr>
        <w:pStyle w:val="BodyText"/>
        <w:spacing w:line="390" w:lineRule="auto"/>
        <w:rPr/>
      </w:pPr>
      <w:r/>
    </w:p>
    <w:p>
      <w:pPr>
        <w:ind w:firstLine="1481"/>
        <w:spacing w:line="4331" w:lineRule="exact"/>
        <w:rPr/>
      </w:pPr>
      <w:r>
        <w:rPr>
          <w:position w:val="-86"/>
        </w:rPr>
        <w:drawing>
          <wp:inline distT="0" distB="0" distL="0" distR="0">
            <wp:extent cx="5493384" cy="2750184"/>
            <wp:effectExtent l="0" t="0" r="0" b="0"/>
            <wp:docPr id="22" name="IM 22"/>
            <wp:cNvGraphicFramePr/>
            <a:graphic>
              <a:graphicData uri="http://schemas.openxmlformats.org/drawingml/2006/picture">
                <pic:pic>
                  <pic:nvPicPr>
                    <pic:cNvPr id="22" name="IM 22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493384" cy="2750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364" w:lineRule="auto"/>
        <w:rPr/>
      </w:pPr>
      <w:r/>
    </w:p>
    <w:p>
      <w:pPr>
        <w:ind w:left="997"/>
        <w:spacing w:before="104" w:line="213" w:lineRule="auto"/>
        <w:outlineLvl w:val="1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spacing w:val="-9"/>
        </w:rPr>
        <w:t>（1） 纪律处分及监管措施</w:t>
      </w:r>
    </w:p>
    <w:tbl>
      <w:tblPr>
        <w:tblStyle w:val="TableNormal"/>
        <w:tblW w:w="9016" w:type="dxa"/>
        <w:tblInd w:w="1346" w:type="dxa"/>
        <w:tblLayout w:type="fixed"/>
        <w:tblBorders>
          <w:top w:val="single" w:color="4F81BD" w:sz="2" w:space="0"/>
          <w:left w:val="single" w:color="4F81BD" w:sz="2" w:space="0"/>
          <w:bottom w:val="single" w:color="4F81BD" w:sz="2" w:space="0"/>
          <w:right w:val="single" w:color="4F81BD" w:sz="2" w:space="0"/>
          <w:insideH w:val="single" w:color="4F81BD" w:sz="2" w:space="0"/>
          <w:insideV w:val="single" w:color="4F81BD" w:sz="2" w:space="0"/>
        </w:tblBorders>
      </w:tblPr>
      <w:tblGrid>
        <w:gridCol w:w="1471"/>
        <w:gridCol w:w="1484"/>
        <w:gridCol w:w="1498"/>
        <w:gridCol w:w="4563"/>
      </w:tblGrid>
      <w:tr>
        <w:trPr>
          <w:trHeight w:val="641" w:hRule="atLeast"/>
        </w:trPr>
        <w:tc>
          <w:tcPr>
            <w:shd w:val="clear" w:fill="4BACC6"/>
            <w:tcW w:w="1471" w:type="dxa"/>
            <w:vAlign w:val="top"/>
          </w:tcPr>
          <w:p>
            <w:pPr>
              <w:pStyle w:val="TableText"/>
              <w:ind w:left="296"/>
              <w:spacing w:before="93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color w:val="FFFFFF"/>
                <w:spacing w:val="-1"/>
              </w:rPr>
              <w:t>公司代码</w:t>
            </w:r>
          </w:p>
        </w:tc>
        <w:tc>
          <w:tcPr>
            <w:shd w:val="clear" w:fill="4BACC6"/>
            <w:tcW w:w="1484" w:type="dxa"/>
            <w:vAlign w:val="top"/>
            <w:tcBorders>
              <w:top w:val="nil"/>
            </w:tcBorders>
          </w:tcPr>
          <w:p>
            <w:pPr>
              <w:pStyle w:val="TableText"/>
              <w:ind w:left="301"/>
              <w:spacing w:before="93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color w:val="FFFFFF"/>
                <w:spacing w:val="-1"/>
              </w:rPr>
              <w:t>公司简称</w:t>
            </w:r>
          </w:p>
        </w:tc>
        <w:tc>
          <w:tcPr>
            <w:shd w:val="clear" w:fill="4BACC6"/>
            <w:tcW w:w="1498" w:type="dxa"/>
            <w:vAlign w:val="top"/>
            <w:tcBorders>
              <w:top w:val="nil"/>
            </w:tcBorders>
          </w:tcPr>
          <w:p>
            <w:pPr>
              <w:pStyle w:val="TableText"/>
              <w:ind w:left="309"/>
              <w:spacing w:before="91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color w:val="FFFFFF"/>
                <w:spacing w:val="-1"/>
              </w:rPr>
              <w:t>监管类型</w:t>
            </w:r>
          </w:p>
        </w:tc>
        <w:tc>
          <w:tcPr>
            <w:shd w:val="clear" w:fill="4BACC6"/>
            <w:tcW w:w="4563" w:type="dxa"/>
            <w:vAlign w:val="top"/>
            <w:tcBorders>
              <w:top w:val="nil"/>
            </w:tcBorders>
          </w:tcPr>
          <w:p>
            <w:pPr>
              <w:pStyle w:val="TableText"/>
              <w:ind w:left="1838"/>
              <w:spacing w:before="91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color w:val="FFFFFF"/>
                <w:spacing w:val="-1"/>
              </w:rPr>
              <w:t>处理事由</w:t>
            </w:r>
          </w:p>
        </w:tc>
      </w:tr>
      <w:tr>
        <w:trPr>
          <w:trHeight w:val="724" w:hRule="atLeast"/>
        </w:trPr>
        <w:tc>
          <w:tcPr>
            <w:tcW w:w="1471" w:type="dxa"/>
            <w:vAlign w:val="top"/>
          </w:tcPr>
          <w:p>
            <w:pPr>
              <w:pStyle w:val="TableText"/>
              <w:ind w:left="379"/>
              <w:spacing w:before="280" w:line="178" w:lineRule="auto"/>
              <w:rPr/>
            </w:pPr>
            <w:r>
              <w:rPr>
                <w:spacing w:val="3"/>
              </w:rPr>
              <w:t>300052</w:t>
            </w:r>
          </w:p>
        </w:tc>
        <w:tc>
          <w:tcPr>
            <w:tcW w:w="1484" w:type="dxa"/>
            <w:vAlign w:val="top"/>
          </w:tcPr>
          <w:p>
            <w:pPr>
              <w:pStyle w:val="TableText"/>
              <w:ind w:left="439"/>
              <w:spacing w:before="265" w:line="189" w:lineRule="auto"/>
              <w:rPr/>
            </w:pPr>
            <w:r>
              <w:rPr>
                <w:spacing w:val="3"/>
              </w:rPr>
              <w:t>中青宝</w:t>
            </w:r>
          </w:p>
        </w:tc>
        <w:tc>
          <w:tcPr>
            <w:tcW w:w="1498" w:type="dxa"/>
            <w:vAlign w:val="top"/>
          </w:tcPr>
          <w:p>
            <w:pPr>
              <w:pStyle w:val="TableText"/>
              <w:ind w:left="435"/>
              <w:spacing w:before="265" w:line="189" w:lineRule="auto"/>
              <w:rPr/>
            </w:pPr>
            <w:r>
              <w:rPr>
                <w:spacing w:val="8"/>
              </w:rPr>
              <w:t>监管函</w:t>
            </w:r>
          </w:p>
        </w:tc>
        <w:tc>
          <w:tcPr>
            <w:tcW w:w="4563" w:type="dxa"/>
            <w:vAlign w:val="top"/>
          </w:tcPr>
          <w:p>
            <w:pPr>
              <w:pStyle w:val="TableText"/>
              <w:ind w:left="117" w:right="253" w:hanging="8"/>
              <w:spacing w:before="84" w:line="220" w:lineRule="auto"/>
              <w:rPr/>
            </w:pPr>
            <w:r>
              <w:rPr>
                <w:spacing w:val="9"/>
              </w:rPr>
              <w:t>公司在知悉实际控制人被</w:t>
            </w:r>
            <w:r>
              <w:rPr>
                <w:b/>
                <w:bCs/>
                <w:spacing w:val="9"/>
              </w:rPr>
              <w:t>采取强制措施</w:t>
            </w:r>
            <w:r>
              <w:rPr>
                <w:spacing w:val="9"/>
              </w:rPr>
              <w:t>后未及</w:t>
            </w:r>
            <w:r>
              <w:rPr>
                <w:spacing w:val="14"/>
              </w:rPr>
              <w:t xml:space="preserve"> </w:t>
            </w:r>
            <w:r>
              <w:rPr>
                <w:spacing w:val="7"/>
              </w:rPr>
              <w:t>时披露相关事项。</w:t>
            </w:r>
          </w:p>
        </w:tc>
      </w:tr>
      <w:tr>
        <w:trPr>
          <w:trHeight w:val="725" w:hRule="atLeast"/>
        </w:trPr>
        <w:tc>
          <w:tcPr>
            <w:shd w:val="clear" w:fill="C7DAF1"/>
            <w:tcW w:w="1471" w:type="dxa"/>
            <w:vAlign w:val="top"/>
          </w:tcPr>
          <w:p>
            <w:pPr>
              <w:pStyle w:val="TableText"/>
              <w:ind w:left="379"/>
              <w:spacing w:before="283" w:line="178" w:lineRule="auto"/>
              <w:rPr/>
            </w:pPr>
            <w:r>
              <w:rPr>
                <w:spacing w:val="3"/>
              </w:rPr>
              <w:t>300900</w:t>
            </w:r>
          </w:p>
        </w:tc>
        <w:tc>
          <w:tcPr>
            <w:shd w:val="clear" w:fill="C7DAF1"/>
            <w:tcW w:w="1484" w:type="dxa"/>
            <w:vAlign w:val="top"/>
          </w:tcPr>
          <w:p>
            <w:pPr>
              <w:pStyle w:val="TableText"/>
              <w:ind w:left="318"/>
              <w:spacing w:before="268" w:line="189" w:lineRule="auto"/>
              <w:rPr/>
            </w:pPr>
            <w:r>
              <w:rPr>
                <w:spacing w:val="8"/>
              </w:rPr>
              <w:t>广联航空</w:t>
            </w:r>
          </w:p>
        </w:tc>
        <w:tc>
          <w:tcPr>
            <w:shd w:val="clear" w:fill="C7DAF1"/>
            <w:tcW w:w="1498" w:type="dxa"/>
            <w:vAlign w:val="top"/>
          </w:tcPr>
          <w:p>
            <w:pPr>
              <w:pStyle w:val="TableText"/>
              <w:ind w:left="435"/>
              <w:spacing w:before="268" w:line="189" w:lineRule="auto"/>
              <w:rPr/>
            </w:pPr>
            <w:r>
              <w:rPr>
                <w:spacing w:val="8"/>
              </w:rPr>
              <w:t>监管函</w:t>
            </w:r>
          </w:p>
        </w:tc>
        <w:tc>
          <w:tcPr>
            <w:shd w:val="clear" w:fill="C7DAF1"/>
            <w:tcW w:w="4563" w:type="dxa"/>
            <w:vAlign w:val="top"/>
          </w:tcPr>
          <w:p>
            <w:pPr>
              <w:pStyle w:val="TableText"/>
              <w:ind w:left="109" w:right="253" w:firstLine="1"/>
              <w:spacing w:before="85" w:line="220" w:lineRule="auto"/>
              <w:rPr/>
            </w:pPr>
            <w:r>
              <w:rPr>
                <w:spacing w:val="9"/>
              </w:rPr>
              <w:t>董事、副总经理未能在承诺期限内完成</w:t>
            </w:r>
            <w:r>
              <w:rPr>
                <w:b/>
                <w:bCs/>
                <w:spacing w:val="9"/>
              </w:rPr>
              <w:t>增持计</w:t>
            </w:r>
            <w:r>
              <w:rPr>
                <w:b/>
                <w:bCs/>
                <w:spacing w:val="12"/>
              </w:rPr>
              <w:t xml:space="preserve"> </w:t>
            </w:r>
            <w:r>
              <w:rPr>
                <w:b/>
                <w:bCs/>
                <w:spacing w:val="3"/>
              </w:rPr>
              <w:t>划。</w:t>
            </w:r>
          </w:p>
        </w:tc>
      </w:tr>
      <w:tr>
        <w:trPr>
          <w:trHeight w:val="725" w:hRule="atLeast"/>
        </w:trPr>
        <w:tc>
          <w:tcPr>
            <w:tcW w:w="1471" w:type="dxa"/>
            <w:vAlign w:val="top"/>
          </w:tcPr>
          <w:p>
            <w:pPr>
              <w:pStyle w:val="TableText"/>
              <w:ind w:left="379"/>
              <w:spacing w:before="283" w:line="178" w:lineRule="auto"/>
              <w:rPr/>
            </w:pPr>
            <w:r>
              <w:rPr>
                <w:spacing w:val="3"/>
              </w:rPr>
              <w:t>300209</w:t>
            </w:r>
          </w:p>
        </w:tc>
        <w:tc>
          <w:tcPr>
            <w:tcW w:w="1484" w:type="dxa"/>
            <w:vAlign w:val="top"/>
          </w:tcPr>
          <w:p>
            <w:pPr>
              <w:pStyle w:val="TableText"/>
              <w:ind w:left="368"/>
              <w:spacing w:before="268" w:line="189" w:lineRule="auto"/>
              <w:rPr/>
            </w:pPr>
            <w:r>
              <w:rPr>
                <w:spacing w:val="8"/>
              </w:rPr>
              <w:t>*</w:t>
            </w:r>
            <w:r>
              <w:rPr/>
              <w:t>ST</w:t>
            </w:r>
            <w:r>
              <w:rPr>
                <w:spacing w:val="8"/>
              </w:rPr>
              <w:t>有树</w:t>
            </w:r>
          </w:p>
        </w:tc>
        <w:tc>
          <w:tcPr>
            <w:tcW w:w="1498" w:type="dxa"/>
            <w:vAlign w:val="top"/>
          </w:tcPr>
          <w:p>
            <w:pPr>
              <w:pStyle w:val="TableText"/>
              <w:ind w:left="435"/>
              <w:spacing w:before="268" w:line="189" w:lineRule="auto"/>
              <w:rPr/>
            </w:pPr>
            <w:r>
              <w:rPr>
                <w:spacing w:val="8"/>
              </w:rPr>
              <w:t>监管函</w:t>
            </w:r>
          </w:p>
        </w:tc>
        <w:tc>
          <w:tcPr>
            <w:tcW w:w="4563" w:type="dxa"/>
            <w:vAlign w:val="top"/>
          </w:tcPr>
          <w:p>
            <w:pPr>
              <w:pStyle w:val="TableText"/>
              <w:ind w:left="109" w:right="253"/>
              <w:spacing w:before="85" w:line="220" w:lineRule="auto"/>
              <w:rPr/>
            </w:pPr>
            <w:r>
              <w:rPr>
                <w:spacing w:val="9"/>
              </w:rPr>
              <w:t>公司</w:t>
            </w:r>
            <w:r>
              <w:rPr>
                <w:b/>
                <w:bCs/>
                <w:spacing w:val="9"/>
              </w:rPr>
              <w:t>业绩预告</w:t>
            </w:r>
            <w:r>
              <w:rPr>
                <w:spacing w:val="9"/>
              </w:rPr>
              <w:t>中的净利润与年度报告相比存在</w:t>
            </w:r>
            <w:r>
              <w:rPr>
                <w:spacing w:val="14"/>
              </w:rPr>
              <w:t xml:space="preserve"> </w:t>
            </w:r>
            <w:r>
              <w:rPr>
                <w:spacing w:val="5"/>
              </w:rPr>
              <w:t>较大差异， 业绩预告披露信息不准确。</w:t>
            </w:r>
          </w:p>
        </w:tc>
      </w:tr>
      <w:tr>
        <w:trPr>
          <w:trHeight w:val="1085" w:hRule="atLeast"/>
        </w:trPr>
        <w:tc>
          <w:tcPr>
            <w:shd w:val="clear" w:fill="C7DAF1"/>
            <w:tcW w:w="1471" w:type="dxa"/>
            <w:vAlign w:val="top"/>
          </w:tcPr>
          <w:p>
            <w:pPr>
              <w:spacing w:line="37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73"/>
              <w:spacing w:before="86" w:line="178" w:lineRule="auto"/>
              <w:rPr/>
            </w:pPr>
            <w:r>
              <w:rPr>
                <w:spacing w:val="3"/>
              </w:rPr>
              <w:t>002552</w:t>
            </w:r>
          </w:p>
        </w:tc>
        <w:tc>
          <w:tcPr>
            <w:shd w:val="clear" w:fill="C7DAF1"/>
            <w:tcW w:w="1484" w:type="dxa"/>
            <w:vAlign w:val="top"/>
          </w:tcPr>
          <w:p>
            <w:pPr>
              <w:spacing w:line="35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21"/>
              <w:spacing w:before="86" w:line="189" w:lineRule="auto"/>
              <w:rPr/>
            </w:pPr>
            <w:r>
              <w:rPr>
                <w:spacing w:val="8"/>
              </w:rPr>
              <w:t>宝鼎科技</w:t>
            </w:r>
          </w:p>
        </w:tc>
        <w:tc>
          <w:tcPr>
            <w:shd w:val="clear" w:fill="C7DAF1"/>
            <w:tcW w:w="1498" w:type="dxa"/>
            <w:vAlign w:val="top"/>
          </w:tcPr>
          <w:p>
            <w:pPr>
              <w:spacing w:line="35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5"/>
              <w:spacing w:before="86" w:line="189" w:lineRule="auto"/>
              <w:rPr/>
            </w:pPr>
            <w:r>
              <w:rPr>
                <w:spacing w:val="8"/>
              </w:rPr>
              <w:t>监管函</w:t>
            </w:r>
          </w:p>
        </w:tc>
        <w:tc>
          <w:tcPr>
            <w:shd w:val="clear" w:fill="C7DAF1"/>
            <w:tcW w:w="4563" w:type="dxa"/>
            <w:vAlign w:val="top"/>
          </w:tcPr>
          <w:p>
            <w:pPr>
              <w:pStyle w:val="TableText"/>
              <w:ind w:left="109" w:right="253" w:firstLine="9"/>
              <w:spacing w:before="88" w:line="230" w:lineRule="auto"/>
              <w:jc w:val="both"/>
              <w:rPr/>
            </w:pPr>
            <w:r>
              <w:rPr>
                <w:spacing w:val="5"/>
              </w:rPr>
              <w:t>2024</w:t>
            </w:r>
            <w:r>
              <w:rPr>
                <w:spacing w:val="53"/>
              </w:rPr>
              <w:t xml:space="preserve"> </w:t>
            </w:r>
            <w:r>
              <w:rPr>
                <w:spacing w:val="5"/>
              </w:rPr>
              <w:t>年一季度报告部分数据有误， 公司在第</w:t>
            </w:r>
            <w:r>
              <w:rPr/>
              <w:t xml:space="preserve"> </w:t>
            </w:r>
            <w:r>
              <w:rPr>
                <w:spacing w:val="9"/>
              </w:rPr>
              <w:t>一季度业绩预告中的净利润与年度报告相比存</w:t>
            </w:r>
            <w:r>
              <w:rPr>
                <w:spacing w:val="14"/>
              </w:rPr>
              <w:t xml:space="preserve"> </w:t>
            </w:r>
            <w:r>
              <w:rPr>
                <w:spacing w:val="5"/>
              </w:rPr>
              <w:t>在较大差异， </w:t>
            </w:r>
            <w:r>
              <w:rPr>
                <w:b/>
                <w:bCs/>
                <w:spacing w:val="5"/>
              </w:rPr>
              <w:t>业绩预告</w:t>
            </w:r>
            <w:r>
              <w:rPr>
                <w:spacing w:val="5"/>
              </w:rPr>
              <w:t>披露信息不准确。</w:t>
            </w:r>
          </w:p>
        </w:tc>
      </w:tr>
      <w:tr>
        <w:trPr>
          <w:trHeight w:val="1084" w:hRule="atLeast"/>
        </w:trPr>
        <w:tc>
          <w:tcPr>
            <w:tcW w:w="1471" w:type="dxa"/>
            <w:vAlign w:val="top"/>
          </w:tcPr>
          <w:p>
            <w:pPr>
              <w:spacing w:line="37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73"/>
              <w:spacing w:before="85" w:line="178" w:lineRule="auto"/>
              <w:rPr/>
            </w:pPr>
            <w:r>
              <w:rPr>
                <w:spacing w:val="3"/>
              </w:rPr>
              <w:t>002730</w:t>
            </w:r>
          </w:p>
        </w:tc>
        <w:tc>
          <w:tcPr>
            <w:tcW w:w="1484" w:type="dxa"/>
            <w:vAlign w:val="top"/>
          </w:tcPr>
          <w:p>
            <w:pPr>
              <w:spacing w:line="36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29"/>
              <w:spacing w:before="86" w:line="188" w:lineRule="auto"/>
              <w:rPr/>
            </w:pPr>
            <w:r>
              <w:rPr>
                <w:spacing w:val="6"/>
              </w:rPr>
              <w:t>电光科技</w:t>
            </w:r>
          </w:p>
        </w:tc>
        <w:tc>
          <w:tcPr>
            <w:tcW w:w="1498" w:type="dxa"/>
            <w:vAlign w:val="top"/>
          </w:tcPr>
          <w:p>
            <w:pPr>
              <w:spacing w:line="36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27"/>
              <w:spacing w:before="86" w:line="187" w:lineRule="auto"/>
              <w:rPr/>
            </w:pPr>
            <w:r>
              <w:rPr>
                <w:spacing w:val="8"/>
              </w:rPr>
              <w:t>公开谴责</w:t>
            </w:r>
          </w:p>
        </w:tc>
        <w:tc>
          <w:tcPr>
            <w:tcW w:w="4563" w:type="dxa"/>
            <w:vAlign w:val="top"/>
          </w:tcPr>
          <w:p>
            <w:pPr>
              <w:pStyle w:val="TableText"/>
              <w:ind w:left="109" w:right="138" w:hanging="1"/>
              <w:spacing w:before="44"/>
              <w:jc w:val="both"/>
              <w:rPr/>
            </w:pPr>
            <w:r>
              <w:rPr>
                <w:spacing w:val="9"/>
              </w:rPr>
              <w:t>股东在持有电光科技有表决权股份</w:t>
            </w:r>
            <w:r>
              <w:rPr>
                <w:b/>
                <w:bCs/>
                <w:spacing w:val="9"/>
              </w:rPr>
              <w:t>首次达到5%</w:t>
            </w:r>
            <w:r>
              <w:rPr>
                <w:b/>
                <w:bCs/>
                <w:spacing w:val="11"/>
              </w:rPr>
              <w:t xml:space="preserve"> </w:t>
            </w:r>
            <w:r>
              <w:rPr>
                <w:b/>
                <w:bCs/>
                <w:spacing w:val="3"/>
              </w:rPr>
              <w:t>时</w:t>
            </w:r>
            <w:r>
              <w:rPr>
                <w:spacing w:val="3"/>
              </w:rPr>
              <w:t>， 未按规定履行报告及公告义务， 并在持股</w:t>
            </w:r>
            <w:r>
              <w:rPr>
                <w:spacing w:val="2"/>
              </w:rPr>
              <w:t xml:space="preserve">   </w:t>
            </w:r>
            <w:r>
              <w:rPr>
                <w:spacing w:val="7"/>
              </w:rPr>
              <w:t>超5%以后继续交易。</w:t>
            </w:r>
          </w:p>
        </w:tc>
      </w:tr>
      <w:tr>
        <w:trPr>
          <w:trHeight w:val="730" w:hRule="atLeast"/>
        </w:trPr>
        <w:tc>
          <w:tcPr>
            <w:shd w:val="clear" w:fill="C7DAF1"/>
            <w:tcW w:w="1471" w:type="dxa"/>
            <w:vAlign w:val="top"/>
          </w:tcPr>
          <w:p>
            <w:pPr>
              <w:pStyle w:val="TableText"/>
              <w:ind w:left="373"/>
              <w:spacing w:before="285" w:line="178" w:lineRule="auto"/>
              <w:rPr/>
            </w:pPr>
            <w:r>
              <w:rPr>
                <w:spacing w:val="3"/>
              </w:rPr>
              <w:t>000723</w:t>
            </w:r>
          </w:p>
        </w:tc>
        <w:tc>
          <w:tcPr>
            <w:shd w:val="clear" w:fill="C7DAF1"/>
            <w:tcW w:w="1484" w:type="dxa"/>
            <w:vAlign w:val="top"/>
          </w:tcPr>
          <w:p>
            <w:pPr>
              <w:pStyle w:val="TableText"/>
              <w:ind w:left="319"/>
              <w:spacing w:before="269" w:line="190" w:lineRule="auto"/>
              <w:rPr/>
            </w:pPr>
            <w:r>
              <w:rPr>
                <w:spacing w:val="8"/>
              </w:rPr>
              <w:t>美锦能源</w:t>
            </w:r>
          </w:p>
        </w:tc>
        <w:tc>
          <w:tcPr>
            <w:shd w:val="clear" w:fill="C7DAF1"/>
            <w:tcW w:w="1498" w:type="dxa"/>
            <w:vAlign w:val="top"/>
          </w:tcPr>
          <w:p>
            <w:pPr>
              <w:pStyle w:val="TableText"/>
              <w:ind w:left="327"/>
              <w:spacing w:before="271" w:line="188" w:lineRule="auto"/>
              <w:rPr/>
            </w:pPr>
            <w:r>
              <w:rPr>
                <w:spacing w:val="8"/>
              </w:rPr>
              <w:t>通报批评</w:t>
            </w:r>
          </w:p>
        </w:tc>
        <w:tc>
          <w:tcPr>
            <w:shd w:val="clear" w:fill="C7DAF1"/>
            <w:tcW w:w="4563" w:type="dxa"/>
            <w:vAlign w:val="top"/>
          </w:tcPr>
          <w:p>
            <w:pPr>
              <w:pStyle w:val="TableText"/>
              <w:ind w:left="109" w:right="253"/>
              <w:spacing w:before="90" w:line="220" w:lineRule="auto"/>
              <w:rPr/>
            </w:pPr>
            <w:r>
              <w:rPr>
                <w:spacing w:val="9"/>
              </w:rPr>
              <w:t>控股股东未在减持行为发生的十五个交易日前</w:t>
            </w:r>
            <w:r>
              <w:rPr>
                <w:spacing w:val="13"/>
              </w:rPr>
              <w:t xml:space="preserve"> </w:t>
            </w:r>
            <w:r>
              <w:rPr>
                <w:spacing w:val="8"/>
              </w:rPr>
              <w:t>及时披露</w:t>
            </w:r>
            <w:r>
              <w:rPr>
                <w:b/>
                <w:bCs/>
                <w:spacing w:val="8"/>
              </w:rPr>
              <w:t>减持计划。</w:t>
            </w:r>
          </w:p>
        </w:tc>
      </w:tr>
    </w:tbl>
    <w:p>
      <w:pPr>
        <w:pStyle w:val="BodyText"/>
        <w:spacing w:line="259" w:lineRule="auto"/>
        <w:rPr/>
      </w:pPr>
      <w:r/>
    </w:p>
    <w:p>
      <w:pPr>
        <w:pStyle w:val="BodyText"/>
        <w:spacing w:line="259" w:lineRule="auto"/>
        <w:rPr/>
      </w:pPr>
      <w:r/>
    </w:p>
    <w:p>
      <w:pPr>
        <w:pStyle w:val="BodyText"/>
        <w:spacing w:line="260" w:lineRule="auto"/>
        <w:rPr/>
      </w:pPr>
      <w:r/>
    </w:p>
    <w:p>
      <w:pPr>
        <w:ind w:left="997"/>
        <w:spacing w:before="103" w:line="225" w:lineRule="auto"/>
        <w:outlineLvl w:val="1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spacing w:val="-14"/>
        </w:rPr>
        <w:t>（2） 问询函件</w:t>
      </w:r>
    </w:p>
    <w:p>
      <w:pPr>
        <w:ind w:left="933"/>
        <w:spacing w:before="151" w:line="183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spacing w:val="-6"/>
        </w:rPr>
        <w:t>2024 年 7 月 22</w:t>
      </w:r>
      <w:r>
        <w:rPr>
          <w:rFonts w:ascii="Microsoft YaHei" w:hAnsi="Microsoft YaHei" w:eastAsia="Microsoft YaHei" w:cs="Microsoft YaHei"/>
          <w:sz w:val="24"/>
          <w:szCs w:val="24"/>
          <w:spacing w:val="28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-6"/>
        </w:rPr>
        <w:t>日-7 月 28</w:t>
      </w:r>
      <w:r>
        <w:rPr>
          <w:rFonts w:ascii="Microsoft YaHei" w:hAnsi="Microsoft YaHei" w:eastAsia="Microsoft YaHei" w:cs="Microsoft YaHei"/>
          <w:sz w:val="24"/>
          <w:szCs w:val="24"/>
          <w:spacing w:val="26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-6"/>
        </w:rPr>
        <w:t>日， 深交所官网未查询到问询函件。</w:t>
      </w:r>
    </w:p>
    <w:p>
      <w:pPr>
        <w:spacing w:line="183" w:lineRule="auto"/>
        <w:sectPr>
          <w:pgSz w:w="11910" w:h="16840"/>
          <w:pgMar w:top="400" w:right="1544" w:bottom="0" w:left="0" w:header="0" w:footer="0" w:gutter="0"/>
        </w:sectPr>
        <w:rPr>
          <w:rFonts w:ascii="Microsoft YaHei" w:hAnsi="Microsoft YaHei" w:eastAsia="Microsoft YaHei" w:cs="Microsoft YaHei"/>
          <w:sz w:val="24"/>
          <w:szCs w:val="24"/>
        </w:rPr>
      </w:pPr>
    </w:p>
    <w:p>
      <w:pPr>
        <w:ind w:left="490"/>
        <w:spacing w:before="97" w:line="183" w:lineRule="auto"/>
        <w:outlineLvl w:val="0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spacing w:val="-2"/>
        </w:rPr>
        <w:t>2、市场交易监管动态</w:t>
      </w:r>
    </w:p>
    <w:p>
      <w:pPr>
        <w:pStyle w:val="BodyText"/>
        <w:spacing w:line="272" w:lineRule="auto"/>
        <w:rPr/>
      </w:pPr>
      <w:r/>
    </w:p>
    <w:p>
      <w:pPr>
        <w:ind w:firstLine="492"/>
        <w:spacing w:before="103" w:line="359" w:lineRule="auto"/>
        <w:jc w:val="both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spacing w:val="-6"/>
        </w:rPr>
        <w:t>2</w:t>
      </w:r>
      <w:r>
        <w:rPr>
          <w:rFonts w:ascii="Microsoft YaHei" w:hAnsi="Microsoft YaHei" w:eastAsia="Microsoft YaHei" w:cs="Microsoft YaHei"/>
          <w:sz w:val="24"/>
          <w:szCs w:val="24"/>
          <w:spacing w:val="-5"/>
        </w:rPr>
        <w:t>024 年 7 月 22</w:t>
      </w:r>
      <w:r>
        <w:rPr>
          <w:rFonts w:ascii="Microsoft YaHei" w:hAnsi="Microsoft YaHei" w:eastAsia="Microsoft YaHei" w:cs="Microsoft YaHei"/>
          <w:sz w:val="24"/>
          <w:szCs w:val="24"/>
          <w:spacing w:val="26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-5"/>
        </w:rPr>
        <w:t>日-7 月 28</w:t>
      </w:r>
      <w:r>
        <w:rPr>
          <w:rFonts w:ascii="Microsoft YaHei" w:hAnsi="Microsoft YaHei" w:eastAsia="Microsoft YaHei" w:cs="Microsoft YaHei"/>
          <w:sz w:val="24"/>
          <w:szCs w:val="24"/>
          <w:spacing w:val="26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-5"/>
        </w:rPr>
        <w:t>日， 深交所共对 98 起证券异常交易行为采取了自律监管措施， 涉</w:t>
      </w:r>
      <w:r>
        <w:rPr>
          <w:rFonts w:ascii="Microsoft YaHei" w:hAnsi="Microsoft YaHei" w:eastAsia="Microsoft YaHei" w:cs="Microsoft YaHei"/>
          <w:sz w:val="24"/>
          <w:szCs w:val="24"/>
          <w:spacing w:val="-6"/>
        </w:rPr>
        <w:t>及</w:t>
      </w:r>
      <w:r>
        <w:rPr>
          <w:rFonts w:ascii="Microsoft YaHei" w:hAnsi="Microsoft YaHei" w:eastAsia="Microsoft YaHei" w:cs="Microsoft YaHei"/>
          <w:sz w:val="24"/>
          <w:szCs w:val="24"/>
          <w:spacing w:val="-5"/>
        </w:rPr>
        <w:t>盘</w:t>
      </w:r>
      <w:r>
        <w:rPr>
          <w:rFonts w:ascii="Microsoft YaHei" w:hAnsi="Microsoft YaHei" w:eastAsia="Microsoft YaHei" w:cs="Microsoft YaHei"/>
          <w:sz w:val="24"/>
          <w:szCs w:val="24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1"/>
        </w:rPr>
        <w:t>中拉抬打压、虚假申报等异常交易情形； 共对 3 起上市公司重大事项进行核查， 并</w:t>
      </w:r>
      <w:r>
        <w:rPr>
          <w:rFonts w:ascii="Microsoft YaHei" w:hAnsi="Microsoft YaHei" w:eastAsia="Microsoft YaHei" w:cs="Microsoft YaHei"/>
          <w:sz w:val="24"/>
          <w:szCs w:val="24"/>
        </w:rPr>
        <w:t>上报证监会 2 起涉 </w:t>
      </w:r>
      <w:r>
        <w:rPr>
          <w:rFonts w:ascii="Microsoft YaHei" w:hAnsi="Microsoft YaHei" w:eastAsia="Microsoft YaHei" w:cs="Microsoft YaHei"/>
          <w:sz w:val="24"/>
          <w:szCs w:val="24"/>
          <w:spacing w:val="-1"/>
        </w:rPr>
        <w:t>嫌违法违规案件线索。</w:t>
      </w:r>
    </w:p>
    <w:sectPr>
      <w:pgSz w:w="11910" w:h="16840"/>
      <w:pgMar w:top="400" w:right="639" w:bottom="0" w:left="440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58240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499604" cy="7441692"/>
          <wp:effectExtent l="0" t="0" r="0" b="0"/>
          <wp:wrapNone/>
          <wp:docPr id="2" name="IM 2"/>
          <wp:cNvGraphicFramePr/>
          <a:graphic>
            <a:graphicData uri="http://schemas.openxmlformats.org/drawingml/2006/picture">
              <pic:pic>
                <pic:nvPicPr>
                  <pic:cNvPr id="2" name="IM 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7499604" cy="74416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/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TableText">
    <w:name w:val="Table Text"/>
    <w:basedOn w:val="Normal"/>
    <w:semiHidden/>
    <w:qFormat/>
    <w:pPr/>
    <w:rPr>
      <w:rFonts w:ascii="Microsoft YaHei" w:hAnsi="Microsoft YaHei" w:eastAsia="Microsoft YaHei" w:cs="Microsoft YaHei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8.jpeg"/><Relationship Id="rId8" Type="http://schemas.openxmlformats.org/officeDocument/2006/relationships/image" Target="media/image7.jpeg"/><Relationship Id="rId7" Type="http://schemas.openxmlformats.org/officeDocument/2006/relationships/image" Target="media/image6.jpeg"/><Relationship Id="rId6" Type="http://schemas.openxmlformats.org/officeDocument/2006/relationships/image" Target="media/image5.png"/><Relationship Id="rId5" Type="http://schemas.openxmlformats.org/officeDocument/2006/relationships/image" Target="media/image4.jpeg"/><Relationship Id="rId4" Type="http://schemas.openxmlformats.org/officeDocument/2006/relationships/image" Target="media/image3.jpeg"/><Relationship Id="rId3" Type="http://schemas.openxmlformats.org/officeDocument/2006/relationships/image" Target="media/image2.png"/><Relationship Id="rId2" Type="http://schemas.openxmlformats.org/officeDocument/2006/relationships/header" Target="header2.xml"/><Relationship Id="rId18" Type="http://schemas.openxmlformats.org/officeDocument/2006/relationships/fontTable" Target="fontTable.xml"/><Relationship Id="rId17" Type="http://schemas.openxmlformats.org/officeDocument/2006/relationships/styles" Target="styles.xml"/><Relationship Id="rId16" Type="http://schemas.openxmlformats.org/officeDocument/2006/relationships/settings" Target="settings.xml"/><Relationship Id="rId15" Type="http://schemas.openxmlformats.org/officeDocument/2006/relationships/image" Target="media/image14.jpeg"/><Relationship Id="rId14" Type="http://schemas.openxmlformats.org/officeDocument/2006/relationships/image" Target="media/image13.jpeg"/><Relationship Id="rId13" Type="http://schemas.openxmlformats.org/officeDocument/2006/relationships/image" Target="media/image12.jpeg"/><Relationship Id="rId12" Type="http://schemas.openxmlformats.org/officeDocument/2006/relationships/image" Target="media/image11.jpeg"/><Relationship Id="rId11" Type="http://schemas.openxmlformats.org/officeDocument/2006/relationships/image" Target="media/image10.jpeg"/><Relationship Id="rId10" Type="http://schemas.openxmlformats.org/officeDocument/2006/relationships/image" Target="media/image9.jpeg"/><Relationship Id="rId1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白尚武</dc:creator>
  <dcterms:created xsi:type="dcterms:W3CDTF">2024-07-29T01:28:12Z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2024-08-05T14:16:49</vt:filetime>
  </property>
</Properties>
</file>