
<file path=[Content_Types].xml><?xml version="1.0" encoding="utf-8"?>
<Types xmlns="http://schemas.openxmlformats.org/package/2006/content-types">
  <Default Extension="png" ContentType="image/png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2" Type="http://schemas.openxmlformats.org/officeDocument/2006/relationships/custom-properties" Target="docProps/custom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body>
    <w:p>
      <w:pPr>
        <w:pStyle w:val="BodyText"/>
        <w:spacing w:line="261" w:lineRule="auto"/>
        <w:rPr/>
      </w:pPr>
      <w:r/>
    </w:p>
    <w:p>
      <w:pPr>
        <w:pStyle w:val="BodyText"/>
        <w:spacing w:line="261" w:lineRule="auto"/>
        <w:rPr/>
      </w:pPr>
      <w:r/>
    </w:p>
    <w:p>
      <w:pPr>
        <w:pStyle w:val="BodyText"/>
        <w:spacing w:line="262" w:lineRule="auto"/>
        <w:rPr/>
      </w:pPr>
      <w:r/>
    </w:p>
    <w:p>
      <w:pPr>
        <w:pStyle w:val="BodyText"/>
        <w:spacing w:line="262" w:lineRule="auto"/>
        <w:rPr/>
      </w:pPr>
      <w:r/>
    </w:p>
    <w:p>
      <w:pPr>
        <w:pStyle w:val="BodyText"/>
        <w:spacing w:line="262" w:lineRule="auto"/>
        <w:rPr/>
      </w:pPr>
      <w:r/>
    </w:p>
    <w:p>
      <w:pPr>
        <w:pStyle w:val="BodyText"/>
        <w:spacing w:line="262" w:lineRule="auto"/>
        <w:rPr/>
      </w:pPr>
      <w:r/>
    </w:p>
    <w:p>
      <w:pPr>
        <w:pStyle w:val="BodyText"/>
        <w:spacing w:line="262" w:lineRule="auto"/>
        <w:rPr/>
      </w:pPr>
      <w:r/>
    </w:p>
    <w:p>
      <w:pPr>
        <w:pStyle w:val="BodyText"/>
        <w:spacing w:line="262" w:lineRule="auto"/>
        <w:rPr/>
      </w:pPr>
      <w:r/>
    </w:p>
    <w:p>
      <w:pPr>
        <w:ind w:left="2592"/>
        <w:spacing w:before="356" w:line="216" w:lineRule="auto"/>
        <w:outlineLvl w:val="0"/>
        <w:rPr>
          <w:rFonts w:ascii="Microsoft YaHei" w:hAnsi="Microsoft YaHei" w:eastAsia="Microsoft YaHei" w:cs="Microsoft YaHei"/>
          <w:sz w:val="83"/>
          <w:szCs w:val="83"/>
        </w:rPr>
      </w:pPr>
      <w:r>
        <w:rPr>
          <w:rFonts w:ascii="Microsoft YaHei" w:hAnsi="Microsoft YaHei" w:eastAsia="Microsoft YaHei" w:cs="Microsoft YaHei"/>
          <w:sz w:val="83"/>
          <w:szCs w:val="83"/>
          <w:b/>
          <w:bCs/>
          <w:color w:val="FFFFFF"/>
          <w:spacing w:val="7"/>
        </w:rPr>
        <w:t>一周法规速递|监管动态</w:t>
      </w:r>
    </w:p>
    <w:p>
      <w:pPr>
        <w:ind w:left="5417"/>
        <w:spacing w:before="7" w:line="183" w:lineRule="auto"/>
        <w:rPr>
          <w:rFonts w:ascii="Microsoft YaHei" w:hAnsi="Microsoft YaHei" w:eastAsia="Microsoft YaHei" w:cs="Microsoft YaHei"/>
          <w:sz w:val="30"/>
          <w:szCs w:val="30"/>
        </w:rPr>
      </w:pPr>
      <w:r>
        <w:rPr>
          <w:rFonts w:ascii="Microsoft YaHei" w:hAnsi="Microsoft YaHei" w:eastAsia="Microsoft YaHei" w:cs="Microsoft YaHei"/>
          <w:sz w:val="30"/>
          <w:szCs w:val="30"/>
          <w:color w:val="FFFFFF"/>
          <w:spacing w:val="-4"/>
        </w:rPr>
        <w:t>2024 年 07 月</w:t>
      </w:r>
      <w:r>
        <w:rPr>
          <w:rFonts w:ascii="Microsoft YaHei" w:hAnsi="Microsoft YaHei" w:eastAsia="Microsoft YaHei" w:cs="Microsoft YaHei"/>
          <w:sz w:val="30"/>
          <w:szCs w:val="30"/>
          <w:color w:val="FFFFFF"/>
          <w:spacing w:val="49"/>
        </w:rPr>
        <w:t xml:space="preserve"> </w:t>
      </w:r>
      <w:r>
        <w:rPr>
          <w:rFonts w:ascii="Microsoft YaHei" w:hAnsi="Microsoft YaHei" w:eastAsia="Microsoft YaHei" w:cs="Microsoft YaHei"/>
          <w:sz w:val="30"/>
          <w:szCs w:val="30"/>
          <w:color w:val="FFFFFF"/>
          <w:spacing w:val="-4"/>
        </w:rPr>
        <w:t>15日—2024 年</w:t>
      </w:r>
      <w:r>
        <w:rPr>
          <w:rFonts w:ascii="Microsoft YaHei" w:hAnsi="Microsoft YaHei" w:eastAsia="Microsoft YaHei" w:cs="Microsoft YaHei"/>
          <w:sz w:val="30"/>
          <w:szCs w:val="30"/>
          <w:color w:val="FFFFFF"/>
          <w:spacing w:val="11"/>
        </w:rPr>
        <w:t xml:space="preserve"> </w:t>
      </w:r>
      <w:r>
        <w:rPr>
          <w:rFonts w:ascii="Microsoft YaHei" w:hAnsi="Microsoft YaHei" w:eastAsia="Microsoft YaHei" w:cs="Microsoft YaHei"/>
          <w:sz w:val="30"/>
          <w:szCs w:val="30"/>
          <w:color w:val="FFFFFF"/>
          <w:spacing w:val="-4"/>
        </w:rPr>
        <w:t>07</w:t>
      </w:r>
      <w:r>
        <w:rPr>
          <w:rFonts w:ascii="Microsoft YaHei" w:hAnsi="Microsoft YaHei" w:eastAsia="Microsoft YaHei" w:cs="Microsoft YaHei"/>
          <w:sz w:val="30"/>
          <w:szCs w:val="30"/>
          <w:color w:val="FFFFFF"/>
          <w:spacing w:val="12"/>
        </w:rPr>
        <w:t xml:space="preserve"> </w:t>
      </w:r>
      <w:r>
        <w:rPr>
          <w:rFonts w:ascii="Microsoft YaHei" w:hAnsi="Microsoft YaHei" w:eastAsia="Microsoft YaHei" w:cs="Microsoft YaHei"/>
          <w:sz w:val="30"/>
          <w:szCs w:val="30"/>
          <w:color w:val="FFFFFF"/>
          <w:spacing w:val="-4"/>
        </w:rPr>
        <w:t>月</w:t>
      </w:r>
      <w:r>
        <w:rPr>
          <w:rFonts w:ascii="Microsoft YaHei" w:hAnsi="Microsoft YaHei" w:eastAsia="Microsoft YaHei" w:cs="Microsoft YaHei"/>
          <w:sz w:val="30"/>
          <w:szCs w:val="30"/>
          <w:color w:val="FFFFFF"/>
          <w:spacing w:val="18"/>
        </w:rPr>
        <w:t xml:space="preserve"> </w:t>
      </w:r>
      <w:r>
        <w:rPr>
          <w:rFonts w:ascii="Microsoft YaHei" w:hAnsi="Microsoft YaHei" w:eastAsia="Microsoft YaHei" w:cs="Microsoft YaHei"/>
          <w:sz w:val="30"/>
          <w:szCs w:val="30"/>
          <w:color w:val="FFFFFF"/>
          <w:spacing w:val="-4"/>
        </w:rPr>
        <w:t>21日</w:t>
      </w:r>
    </w:p>
    <w:p>
      <w:pPr>
        <w:pStyle w:val="BodyText"/>
        <w:spacing w:line="249" w:lineRule="auto"/>
        <w:rPr/>
      </w:pPr>
      <w:r/>
    </w:p>
    <w:p>
      <w:pPr>
        <w:pStyle w:val="BodyText"/>
        <w:spacing w:line="249" w:lineRule="auto"/>
        <w:rPr/>
      </w:pPr>
      <w:r/>
    </w:p>
    <w:p>
      <w:pPr>
        <w:pStyle w:val="BodyText"/>
        <w:spacing w:line="249" w:lineRule="auto"/>
        <w:rPr/>
      </w:pPr>
      <w:r/>
    </w:p>
    <w:p>
      <w:pPr>
        <w:pStyle w:val="BodyText"/>
        <w:spacing w:line="249" w:lineRule="auto"/>
        <w:rPr/>
      </w:pPr>
      <w:r/>
    </w:p>
    <w:p>
      <w:pPr>
        <w:pStyle w:val="BodyText"/>
        <w:spacing w:line="249" w:lineRule="auto"/>
        <w:rPr/>
      </w:pPr>
      <w:r/>
    </w:p>
    <w:p>
      <w:pPr>
        <w:pStyle w:val="BodyText"/>
        <w:spacing w:line="249" w:lineRule="auto"/>
        <w:rPr/>
      </w:pPr>
      <w:r/>
    </w:p>
    <w:p>
      <w:pPr>
        <w:pStyle w:val="BodyText"/>
        <w:spacing w:line="249" w:lineRule="auto"/>
        <w:rPr/>
      </w:pPr>
      <w:r/>
    </w:p>
    <w:p>
      <w:pPr>
        <w:pStyle w:val="BodyText"/>
        <w:spacing w:line="249" w:lineRule="auto"/>
        <w:rPr/>
      </w:pPr>
      <w:r/>
    </w:p>
    <w:p>
      <w:pPr>
        <w:pStyle w:val="BodyText"/>
        <w:spacing w:line="249" w:lineRule="auto"/>
        <w:rPr/>
      </w:pPr>
      <w:r/>
    </w:p>
    <w:p>
      <w:pPr>
        <w:pStyle w:val="BodyText"/>
        <w:spacing w:line="249" w:lineRule="auto"/>
        <w:rPr/>
      </w:pPr>
      <w:r/>
    </w:p>
    <w:p>
      <w:pPr>
        <w:pStyle w:val="BodyText"/>
        <w:spacing w:line="249" w:lineRule="auto"/>
        <w:rPr/>
      </w:pPr>
      <w:r/>
    </w:p>
    <w:p>
      <w:pPr>
        <w:pStyle w:val="BodyText"/>
        <w:spacing w:line="249" w:lineRule="auto"/>
        <w:rPr/>
      </w:pPr>
      <w:r/>
    </w:p>
    <w:p>
      <w:pPr>
        <w:pStyle w:val="BodyText"/>
        <w:spacing w:line="249" w:lineRule="auto"/>
        <w:rPr/>
      </w:pPr>
      <w:r/>
    </w:p>
    <w:p>
      <w:pPr>
        <w:pStyle w:val="BodyText"/>
        <w:spacing w:line="249" w:lineRule="auto"/>
        <w:rPr/>
      </w:pPr>
      <w:r/>
    </w:p>
    <w:p>
      <w:pPr>
        <w:pStyle w:val="BodyText"/>
        <w:spacing w:line="249" w:lineRule="auto"/>
        <w:rPr/>
      </w:pPr>
      <w:r/>
    </w:p>
    <w:p>
      <w:pPr>
        <w:pStyle w:val="BodyText"/>
        <w:spacing w:line="249" w:lineRule="auto"/>
        <w:rPr/>
      </w:pPr>
      <w:r/>
    </w:p>
    <w:p>
      <w:pPr>
        <w:pStyle w:val="BodyText"/>
        <w:spacing w:line="249" w:lineRule="auto"/>
        <w:rPr/>
      </w:pPr>
      <w:r/>
    </w:p>
    <w:p>
      <w:pPr>
        <w:pStyle w:val="BodyText"/>
        <w:spacing w:line="249" w:lineRule="auto"/>
        <w:rPr/>
      </w:pPr>
      <w:r/>
    </w:p>
    <w:p>
      <w:pPr>
        <w:pStyle w:val="BodyText"/>
        <w:spacing w:line="249" w:lineRule="auto"/>
        <w:rPr/>
      </w:pPr>
      <w:r/>
    </w:p>
    <w:p>
      <w:pPr>
        <w:pStyle w:val="BodyText"/>
        <w:spacing w:line="249" w:lineRule="auto"/>
        <w:rPr/>
      </w:pPr>
      <w:r/>
    </w:p>
    <w:p>
      <w:pPr>
        <w:pStyle w:val="BodyText"/>
        <w:spacing w:line="249" w:lineRule="auto"/>
        <w:rPr/>
      </w:pPr>
      <w:r/>
    </w:p>
    <w:p>
      <w:pPr>
        <w:pStyle w:val="BodyText"/>
        <w:spacing w:line="249" w:lineRule="auto"/>
        <w:rPr/>
      </w:pPr>
      <w:r/>
    </w:p>
    <w:p>
      <w:pPr>
        <w:pStyle w:val="BodyText"/>
        <w:spacing w:line="249" w:lineRule="auto"/>
        <w:rPr/>
      </w:pPr>
      <w:r/>
    </w:p>
    <w:p>
      <w:pPr>
        <w:pStyle w:val="BodyText"/>
        <w:spacing w:line="249" w:lineRule="auto"/>
        <w:rPr/>
      </w:pPr>
      <w:r/>
    </w:p>
    <w:p>
      <w:pPr>
        <w:ind w:left="4586" w:right="3636" w:hanging="886"/>
        <w:spacing w:before="133" w:line="195" w:lineRule="auto"/>
        <w:rPr>
          <w:rFonts w:ascii="Microsoft YaHei" w:hAnsi="Microsoft YaHei" w:eastAsia="Microsoft YaHei" w:cs="Microsoft YaHei"/>
          <w:sz w:val="31"/>
          <w:szCs w:val="31"/>
        </w:rPr>
      </w:pPr>
      <w:r>
        <w:rPr>
          <w:rFonts w:ascii="Microsoft YaHei" w:hAnsi="Microsoft YaHei" w:eastAsia="Microsoft YaHei" w:cs="Microsoft YaHei"/>
          <w:sz w:val="31"/>
          <w:szCs w:val="31"/>
          <w:b/>
          <w:bCs/>
          <w:spacing w:val="9"/>
        </w:rPr>
        <w:t>深圳价值在线咨询顾问有限公司</w:t>
      </w:r>
      <w:r>
        <w:rPr>
          <w:rFonts w:ascii="Microsoft YaHei" w:hAnsi="Microsoft YaHei" w:eastAsia="Microsoft YaHei" w:cs="Microsoft YaHei"/>
          <w:sz w:val="31"/>
          <w:szCs w:val="31"/>
          <w:b/>
          <w:bCs/>
          <w:spacing w:val="6"/>
        </w:rPr>
        <w:t xml:space="preserve"> </w:t>
      </w:r>
      <w:r>
        <w:rPr>
          <w:rFonts w:ascii="Microsoft YaHei" w:hAnsi="Microsoft YaHei" w:eastAsia="Microsoft YaHei" w:cs="Microsoft YaHei"/>
          <w:sz w:val="31"/>
          <w:szCs w:val="31"/>
          <w:b/>
          <w:bCs/>
        </w:rPr>
        <w:t>2024 年</w:t>
      </w:r>
      <w:r>
        <w:rPr>
          <w:rFonts w:ascii="Microsoft YaHei" w:hAnsi="Microsoft YaHei" w:eastAsia="Microsoft YaHei" w:cs="Microsoft YaHei"/>
          <w:sz w:val="31"/>
          <w:szCs w:val="31"/>
          <w:b/>
          <w:bCs/>
          <w:spacing w:val="24"/>
        </w:rPr>
        <w:t xml:space="preserve"> </w:t>
      </w:r>
      <w:r>
        <w:rPr>
          <w:rFonts w:ascii="Microsoft YaHei" w:hAnsi="Microsoft YaHei" w:eastAsia="Microsoft YaHei" w:cs="Microsoft YaHei"/>
          <w:sz w:val="31"/>
          <w:szCs w:val="31"/>
          <w:b/>
          <w:bCs/>
        </w:rPr>
        <w:t>07</w:t>
      </w:r>
      <w:r>
        <w:rPr>
          <w:rFonts w:ascii="Microsoft YaHei" w:hAnsi="Microsoft YaHei" w:eastAsia="Microsoft YaHei" w:cs="Microsoft YaHei"/>
          <w:sz w:val="31"/>
          <w:szCs w:val="31"/>
          <w:b/>
          <w:bCs/>
          <w:spacing w:val="18"/>
        </w:rPr>
        <w:t xml:space="preserve"> </w:t>
      </w:r>
      <w:r>
        <w:rPr>
          <w:rFonts w:ascii="Microsoft YaHei" w:hAnsi="Microsoft YaHei" w:eastAsia="Microsoft YaHei" w:cs="Microsoft YaHei"/>
          <w:sz w:val="31"/>
          <w:szCs w:val="31"/>
          <w:b/>
          <w:bCs/>
        </w:rPr>
        <w:t>月</w:t>
      </w:r>
      <w:r>
        <w:rPr>
          <w:rFonts w:ascii="Microsoft YaHei" w:hAnsi="Microsoft YaHei" w:eastAsia="Microsoft YaHei" w:cs="Microsoft YaHei"/>
          <w:sz w:val="31"/>
          <w:szCs w:val="31"/>
          <w:b/>
          <w:bCs/>
          <w:spacing w:val="18"/>
        </w:rPr>
        <w:t xml:space="preserve"> </w:t>
      </w:r>
      <w:r>
        <w:rPr>
          <w:rFonts w:ascii="Microsoft YaHei" w:hAnsi="Microsoft YaHei" w:eastAsia="Microsoft YaHei" w:cs="Microsoft YaHei"/>
          <w:sz w:val="31"/>
          <w:szCs w:val="31"/>
          <w:b/>
          <w:bCs/>
        </w:rPr>
        <w:t>22</w:t>
      </w:r>
      <w:r>
        <w:rPr>
          <w:rFonts w:ascii="Microsoft YaHei" w:hAnsi="Microsoft YaHei" w:eastAsia="Microsoft YaHei" w:cs="Microsoft YaHei"/>
          <w:sz w:val="31"/>
          <w:szCs w:val="31"/>
          <w:b/>
          <w:bCs/>
          <w:spacing w:val="43"/>
        </w:rPr>
        <w:t xml:space="preserve"> </w:t>
      </w:r>
      <w:r>
        <w:rPr>
          <w:rFonts w:ascii="Microsoft YaHei" w:hAnsi="Microsoft YaHei" w:eastAsia="Microsoft YaHei" w:cs="Microsoft YaHei"/>
          <w:sz w:val="31"/>
          <w:szCs w:val="31"/>
          <w:b/>
          <w:bCs/>
        </w:rPr>
        <w:t>日</w:t>
      </w:r>
    </w:p>
    <w:p>
      <w:pPr>
        <w:spacing w:line="195" w:lineRule="auto"/>
        <w:sectPr>
          <w:headerReference w:type="default" r:id="rId1"/>
          <w:pgSz w:w="11910" w:h="16840"/>
          <w:pgMar w:top="400" w:right="99" w:bottom="0" w:left="0" w:header="0" w:footer="0" w:gutter="0"/>
        </w:sectPr>
        <w:rPr>
          <w:rFonts w:ascii="Microsoft YaHei" w:hAnsi="Microsoft YaHei" w:eastAsia="Microsoft YaHei" w:cs="Microsoft YaHei"/>
          <w:sz w:val="31"/>
          <w:szCs w:val="31"/>
        </w:rPr>
      </w:pPr>
    </w:p>
    <w:p>
      <w:pPr>
        <w:rPr>
          <w:rFonts w:ascii="Microsoft YaHei" w:hAnsi="Microsoft YaHei" w:eastAsia="Microsoft YaHei" w:cs="Microsoft YaHei"/>
          <w:sz w:val="43"/>
          <w:szCs w:val="43"/>
        </w:rPr>
      </w:pPr>
      <w:r>
        <w:pict>
          <v:rect id="_x0000_s2" style="position:absolute;margin-left:63.25pt;margin-top:45.673pt;mso-position-vertical-relative:text;mso-position-horizontal-relative:text;width:525.55pt;height:2.75pt;z-index:251659264;" fillcolor="#A61C1F" filled="true" stroked="false"/>
        </w:pict>
      </w:r>
      <w:r>
        <w:pict>
          <v:shape id="_x0000_s4" style="position:absolute;margin-left:28.275pt;margin-top:35.406pt;mso-position-vertical-relative:text;mso-position-horizontal-relative:text;width:4.4pt;height:5pt;z-index:-251658240;" fillcolor="#FFFFFF" filled="true" stroked="false" coordsize="88,100" coordorigin="0,0" path="m44,99m44,99l27,94l12,84l3,68l0,48l3,29l12,15l27,3l44,0l58,3l72,15l82,29l87,48l82,68l72,84l58,94l44,99e"/>
        </w:pict>
      </w:r>
      <w:r>
        <w:rPr>
          <w:rFonts w:ascii="Microsoft YaHei" w:hAnsi="Microsoft YaHei" w:eastAsia="Microsoft YaHei" w:cs="Microsoft YaHei"/>
          <w:sz w:val="43"/>
          <w:szCs w:val="43"/>
          <w:position w:val="-39"/>
        </w:rPr>
        <w:drawing>
          <wp:inline distT="0" distB="0" distL="0" distR="0">
            <wp:extent cx="803148" cy="623964"/>
            <wp:effectExtent l="0" t="0" r="0" b="0"/>
            <wp:docPr id="4" name="IM 4"/>
            <wp:cNvGraphicFramePr/>
            <a:graphic>
              <a:graphicData uri="http://schemas.openxmlformats.org/drawingml/2006/picture">
                <pic:pic>
                  <pic:nvPicPr>
                    <pic:cNvPr id="4" name="IM 4"/>
                    <pic:cNvPicPr/>
                  </pic:nvPicPr>
                  <pic:blipFill>
                    <a:blip r:embed="rId3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803148" cy="6239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Microsoft YaHei" w:hAnsi="Microsoft YaHei" w:eastAsia="Microsoft YaHei" w:cs="Microsoft YaHei"/>
          <w:sz w:val="43"/>
          <w:szCs w:val="43"/>
          <w:spacing w:val="15"/>
        </w:rPr>
        <w:t xml:space="preserve">   </w:t>
      </w:r>
      <w:r>
        <w:rPr>
          <w:rFonts w:ascii="Microsoft YaHei" w:hAnsi="Microsoft YaHei" w:eastAsia="Microsoft YaHei" w:cs="Microsoft YaHei"/>
          <w:sz w:val="43"/>
          <w:szCs w:val="43"/>
          <w:spacing w:val="8"/>
        </w:rPr>
        <w:t>法规速递</w:t>
      </w:r>
    </w:p>
    <w:p>
      <w:pPr>
        <w:pStyle w:val="BodyText"/>
        <w:spacing w:line="253" w:lineRule="auto"/>
        <w:rPr/>
      </w:pPr>
      <w:r/>
    </w:p>
    <w:p>
      <w:pPr>
        <w:pStyle w:val="BodyText"/>
        <w:spacing w:line="253" w:lineRule="auto"/>
        <w:rPr/>
      </w:pPr>
      <w:r/>
    </w:p>
    <w:p>
      <w:pPr>
        <w:pStyle w:val="BodyText"/>
        <w:spacing w:line="253" w:lineRule="auto"/>
        <w:rPr/>
      </w:pPr>
      <w:r/>
    </w:p>
    <w:p>
      <w:pPr>
        <w:ind w:left="961"/>
        <w:spacing w:before="120" w:line="184" w:lineRule="auto"/>
        <w:outlineLvl w:val="0"/>
        <w:rPr>
          <w:rFonts w:ascii="Microsoft YaHei" w:hAnsi="Microsoft YaHei" w:eastAsia="Microsoft YaHei" w:cs="Microsoft YaHei"/>
          <w:sz w:val="28"/>
          <w:szCs w:val="28"/>
        </w:rPr>
      </w:pPr>
      <w:r>
        <w:rPr>
          <w:rFonts w:ascii="Microsoft YaHei" w:hAnsi="Microsoft YaHei" w:eastAsia="Microsoft YaHei" w:cs="Microsoft YaHei"/>
          <w:sz w:val="28"/>
          <w:szCs w:val="28"/>
          <w:b/>
          <w:bCs/>
          <w:color w:val="0B0B0B"/>
          <w:spacing w:val="-2"/>
        </w:rPr>
        <w:t>1、深圳证券交易所上市公司现场沟通服务规范</w:t>
      </w:r>
    </w:p>
    <w:p>
      <w:pPr>
        <w:pStyle w:val="BodyText"/>
        <w:spacing w:line="457" w:lineRule="auto"/>
        <w:rPr/>
      </w:pPr>
      <w:r/>
    </w:p>
    <w:p>
      <w:pPr>
        <w:ind w:left="1141"/>
        <w:spacing w:before="103" w:line="184" w:lineRule="auto"/>
        <w:rPr>
          <w:rFonts w:ascii="Microsoft YaHei" w:hAnsi="Microsoft YaHei" w:eastAsia="Microsoft YaHei" w:cs="Microsoft YaHei"/>
          <w:sz w:val="24"/>
          <w:szCs w:val="24"/>
        </w:rPr>
      </w:pPr>
      <w:r>
        <w:rPr>
          <w:rFonts w:ascii="Microsoft YaHei" w:hAnsi="Microsoft YaHei" w:eastAsia="Microsoft YaHei" w:cs="Microsoft YaHei"/>
          <w:sz w:val="24"/>
          <w:szCs w:val="24"/>
          <w:color w:val="0B0B0B"/>
          <w:spacing w:val="-1"/>
        </w:rPr>
        <w:t>各上市公司：</w:t>
      </w:r>
    </w:p>
    <w:p>
      <w:pPr>
        <w:pStyle w:val="BodyText"/>
        <w:spacing w:line="382" w:lineRule="auto"/>
        <w:rPr/>
      </w:pPr>
      <w:r/>
    </w:p>
    <w:p>
      <w:pPr>
        <w:ind w:left="663" w:right="555" w:firstLine="484"/>
        <w:spacing w:before="103" w:line="324" w:lineRule="auto"/>
        <w:rPr>
          <w:rFonts w:ascii="Microsoft YaHei" w:hAnsi="Microsoft YaHei" w:eastAsia="Microsoft YaHei" w:cs="Microsoft YaHei"/>
          <w:sz w:val="24"/>
          <w:szCs w:val="24"/>
        </w:rPr>
      </w:pPr>
      <w:r>
        <w:rPr>
          <w:rFonts w:ascii="Microsoft YaHei" w:hAnsi="Microsoft YaHei" w:eastAsia="Microsoft YaHei" w:cs="Microsoft YaHei"/>
          <w:sz w:val="24"/>
          <w:szCs w:val="24"/>
          <w:color w:val="0B0B0B"/>
          <w:spacing w:val="-3"/>
        </w:rPr>
        <w:t>为了便利上市公司与本所进行现场沟通， 进一步提升</w:t>
      </w:r>
      <w:r>
        <w:rPr>
          <w:rFonts w:ascii="Microsoft YaHei" w:hAnsi="Microsoft YaHei" w:eastAsia="Microsoft YaHei" w:cs="Microsoft YaHei"/>
          <w:sz w:val="24"/>
          <w:szCs w:val="24"/>
          <w:color w:val="0B0B0B"/>
          <w:spacing w:val="-4"/>
        </w:rPr>
        <w:t>本所服务上市公司质效， 本所制定了《深圳</w:t>
      </w:r>
      <w:r>
        <w:rPr>
          <w:rFonts w:ascii="Microsoft YaHei" w:hAnsi="Microsoft YaHei" w:eastAsia="Microsoft YaHei" w:cs="Microsoft YaHei"/>
          <w:sz w:val="24"/>
          <w:szCs w:val="24"/>
          <w:color w:val="0B0B0B"/>
        </w:rPr>
        <w:t xml:space="preserve"> </w:t>
      </w:r>
      <w:r>
        <w:rPr>
          <w:rFonts w:ascii="Microsoft YaHei" w:hAnsi="Microsoft YaHei" w:eastAsia="Microsoft YaHei" w:cs="Microsoft YaHei"/>
          <w:sz w:val="24"/>
          <w:szCs w:val="24"/>
          <w:color w:val="0B0B0B"/>
          <w:spacing w:val="-5"/>
        </w:rPr>
        <w:t>证券交易所上市公司现场沟通服务规范》， 现予以发布，</w:t>
      </w:r>
      <w:r>
        <w:rPr>
          <w:rFonts w:ascii="Microsoft YaHei" w:hAnsi="Microsoft YaHei" w:eastAsia="Microsoft YaHei" w:cs="Microsoft YaHei"/>
          <w:sz w:val="24"/>
          <w:szCs w:val="24"/>
          <w:color w:val="0B0B0B"/>
          <w:spacing w:val="28"/>
        </w:rPr>
        <w:t xml:space="preserve"> </w:t>
      </w:r>
      <w:r>
        <w:rPr>
          <w:rFonts w:ascii="Microsoft YaHei" w:hAnsi="Microsoft YaHei" w:eastAsia="Microsoft YaHei" w:cs="Microsoft YaHei"/>
          <w:sz w:val="24"/>
          <w:szCs w:val="24"/>
          <w:color w:val="0B0B0B"/>
          <w:spacing w:val="-5"/>
        </w:rPr>
        <w:t>自发布之日起施行。</w:t>
      </w:r>
    </w:p>
    <w:p>
      <w:pPr>
        <w:pStyle w:val="BodyText"/>
        <w:spacing w:line="245" w:lineRule="auto"/>
        <w:rPr/>
      </w:pPr>
      <w:r/>
    </w:p>
    <w:p>
      <w:pPr>
        <w:ind w:left="9716"/>
        <w:spacing w:before="103" w:line="183" w:lineRule="auto"/>
        <w:rPr>
          <w:rFonts w:ascii="Microsoft YaHei" w:hAnsi="Microsoft YaHei" w:eastAsia="Microsoft YaHei" w:cs="Microsoft YaHei"/>
          <w:sz w:val="24"/>
          <w:szCs w:val="24"/>
        </w:rPr>
      </w:pPr>
      <w:r>
        <w:rPr>
          <w:rFonts w:ascii="Microsoft YaHei" w:hAnsi="Microsoft YaHei" w:eastAsia="Microsoft YaHei" w:cs="Microsoft YaHei"/>
          <w:sz w:val="24"/>
          <w:szCs w:val="24"/>
          <w:color w:val="0B0B0B"/>
          <w:spacing w:val="-1"/>
        </w:rPr>
        <w:t>深圳证券交易所</w:t>
      </w:r>
    </w:p>
    <w:p>
      <w:pPr>
        <w:pStyle w:val="BodyText"/>
        <w:spacing w:line="425" w:lineRule="auto"/>
        <w:rPr/>
      </w:pPr>
      <w:r/>
    </w:p>
    <w:p>
      <w:pPr>
        <w:ind w:left="9702"/>
        <w:spacing w:before="103" w:line="183" w:lineRule="auto"/>
        <w:rPr>
          <w:rFonts w:ascii="Microsoft YaHei" w:hAnsi="Microsoft YaHei" w:eastAsia="Microsoft YaHei" w:cs="Microsoft YaHei"/>
          <w:sz w:val="24"/>
          <w:szCs w:val="24"/>
        </w:rPr>
      </w:pPr>
      <w:r>
        <w:rPr>
          <w:rFonts w:ascii="Microsoft YaHei" w:hAnsi="Microsoft YaHei" w:eastAsia="Microsoft YaHei" w:cs="Microsoft YaHei"/>
          <w:sz w:val="24"/>
          <w:szCs w:val="24"/>
          <w:color w:val="0B0B0B"/>
          <w:spacing w:val="-2"/>
        </w:rPr>
        <w:t>2024年7月15日</w:t>
      </w:r>
    </w:p>
    <w:p>
      <w:pPr>
        <w:pStyle w:val="BodyText"/>
        <w:spacing w:line="267" w:lineRule="auto"/>
        <w:rPr/>
      </w:pPr>
      <w:r/>
    </w:p>
    <w:p>
      <w:pPr>
        <w:pStyle w:val="BodyText"/>
        <w:spacing w:line="267" w:lineRule="auto"/>
        <w:rPr/>
      </w:pPr>
      <w:r/>
    </w:p>
    <w:p>
      <w:pPr>
        <w:pStyle w:val="BodyText"/>
        <w:spacing w:line="268" w:lineRule="auto"/>
        <w:rPr/>
      </w:pPr>
      <w:r/>
    </w:p>
    <w:p>
      <w:pPr>
        <w:pStyle w:val="BodyText"/>
        <w:spacing w:line="268" w:lineRule="auto"/>
        <w:rPr/>
      </w:pPr>
      <w:r/>
    </w:p>
    <w:p>
      <w:pPr>
        <w:ind w:firstLine="4504"/>
        <w:spacing w:line="2700" w:lineRule="exact"/>
        <w:rPr/>
      </w:pPr>
      <w:r>
        <w:rPr>
          <w:position w:val="-54"/>
        </w:rPr>
        <w:drawing>
          <wp:inline distT="0" distB="0" distL="0" distR="0">
            <wp:extent cx="1714500" cy="1714500"/>
            <wp:effectExtent l="0" t="0" r="0" b="0"/>
            <wp:docPr id="6" name="IM 6"/>
            <wp:cNvGraphicFramePr/>
            <a:graphic>
              <a:graphicData uri="http://schemas.openxmlformats.org/drawingml/2006/picture">
                <pic:pic>
                  <pic:nvPicPr>
                    <pic:cNvPr id="6" name="IM 6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714500" cy="1714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line="347" w:lineRule="auto"/>
        <w:rPr/>
      </w:pPr>
      <w:r/>
    </w:p>
    <w:p>
      <w:pPr>
        <w:ind w:left="3898"/>
        <w:spacing w:before="103" w:line="183" w:lineRule="auto"/>
        <w:rPr>
          <w:rFonts w:ascii="Microsoft YaHei" w:hAnsi="Microsoft YaHei" w:eastAsia="Microsoft YaHei" w:cs="Microsoft YaHei"/>
          <w:sz w:val="24"/>
          <w:szCs w:val="24"/>
        </w:rPr>
      </w:pPr>
      <w:r>
        <w:rPr>
          <w:rFonts w:ascii="Microsoft YaHei" w:hAnsi="Microsoft YaHei" w:eastAsia="Microsoft YaHei" w:cs="Microsoft YaHei"/>
          <w:sz w:val="24"/>
          <w:szCs w:val="24"/>
          <w:b/>
          <w:bCs/>
          <w:color w:val="0B0B0B"/>
          <w:spacing w:val="-1"/>
        </w:rPr>
        <w:t>深圳证券交易所上市公司现场沟通服务规范</w:t>
      </w:r>
    </w:p>
    <w:p>
      <w:pPr>
        <w:spacing w:line="183" w:lineRule="auto"/>
        <w:sectPr>
          <w:headerReference w:type="default" r:id="rId2"/>
          <w:pgSz w:w="11910" w:h="16840"/>
          <w:pgMar w:top="1" w:right="134" w:bottom="0" w:left="0" w:header="0" w:footer="0" w:gutter="0"/>
        </w:sectPr>
        <w:rPr>
          <w:rFonts w:ascii="Microsoft YaHei" w:hAnsi="Microsoft YaHei" w:eastAsia="Microsoft YaHei" w:cs="Microsoft YaHei"/>
          <w:sz w:val="24"/>
          <w:szCs w:val="24"/>
        </w:rPr>
      </w:pPr>
    </w:p>
    <w:p>
      <w:pPr>
        <w:rPr>
          <w:rFonts w:ascii="Microsoft YaHei" w:hAnsi="Microsoft YaHei" w:eastAsia="Microsoft YaHei" w:cs="Microsoft YaHei"/>
          <w:sz w:val="43"/>
          <w:szCs w:val="43"/>
        </w:rPr>
      </w:pPr>
      <w:r>
        <w:drawing>
          <wp:anchor distT="0" distB="0" distL="0" distR="0" simplePos="0" relativeHeight="251660288" behindDoc="1" locked="0" layoutInCell="1" allowOverlap="1">
            <wp:simplePos x="0" y="0"/>
            <wp:positionH relativeFrom="column">
              <wp:posOffset>803275</wp:posOffset>
            </wp:positionH>
            <wp:positionV relativeFrom="paragraph">
              <wp:posOffset>580047</wp:posOffset>
            </wp:positionV>
            <wp:extent cx="6674484" cy="34493"/>
            <wp:effectExtent l="0" t="0" r="0" b="0"/>
            <wp:wrapNone/>
            <wp:docPr id="8" name="IM 8"/>
            <wp:cNvGraphicFramePr/>
            <a:graphic>
              <a:graphicData uri="http://schemas.openxmlformats.org/drawingml/2006/picture">
                <pic:pic>
                  <pic:nvPicPr>
                    <pic:cNvPr id="8" name="IM 8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74484" cy="3449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Microsoft YaHei" w:hAnsi="Microsoft YaHei" w:eastAsia="Microsoft YaHei" w:cs="Microsoft YaHei"/>
          <w:sz w:val="43"/>
          <w:szCs w:val="43"/>
          <w:position w:val="-39"/>
        </w:rPr>
        <w:drawing>
          <wp:inline distT="0" distB="0" distL="0" distR="0">
            <wp:extent cx="803148" cy="623964"/>
            <wp:effectExtent l="0" t="0" r="0" b="0"/>
            <wp:docPr id="10" name="IM 10"/>
            <wp:cNvGraphicFramePr/>
            <a:graphic>
              <a:graphicData uri="http://schemas.openxmlformats.org/drawingml/2006/picture">
                <pic:pic>
                  <pic:nvPicPr>
                    <pic:cNvPr id="10" name="IM 10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803148" cy="6239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Microsoft YaHei" w:hAnsi="Microsoft YaHei" w:eastAsia="Microsoft YaHei" w:cs="Microsoft YaHei"/>
          <w:sz w:val="43"/>
          <w:szCs w:val="43"/>
          <w:spacing w:val="15"/>
        </w:rPr>
        <w:t xml:space="preserve">   </w:t>
      </w:r>
      <w:r>
        <w:rPr>
          <w:rFonts w:ascii="Microsoft YaHei" w:hAnsi="Microsoft YaHei" w:eastAsia="Microsoft YaHei" w:cs="Microsoft YaHei"/>
          <w:sz w:val="43"/>
          <w:szCs w:val="43"/>
          <w:spacing w:val="8"/>
        </w:rPr>
        <w:t>法规速递</w:t>
      </w:r>
    </w:p>
    <w:p>
      <w:pPr>
        <w:pStyle w:val="BodyText"/>
        <w:spacing w:line="329" w:lineRule="auto"/>
        <w:rPr/>
      </w:pPr>
      <w:r/>
    </w:p>
    <w:p>
      <w:pPr>
        <w:pStyle w:val="BodyText"/>
        <w:spacing w:line="329" w:lineRule="auto"/>
        <w:rPr/>
      </w:pPr>
      <w:r/>
    </w:p>
    <w:p>
      <w:pPr>
        <w:ind w:left="698" w:right="1206" w:firstLine="535"/>
        <w:spacing w:before="120" w:line="266" w:lineRule="auto"/>
        <w:outlineLvl w:val="0"/>
        <w:rPr>
          <w:rFonts w:ascii="Microsoft YaHei" w:hAnsi="Microsoft YaHei" w:eastAsia="Microsoft YaHei" w:cs="Microsoft YaHei"/>
          <w:sz w:val="28"/>
          <w:szCs w:val="28"/>
        </w:rPr>
      </w:pPr>
      <w:r>
        <w:rPr>
          <w:rFonts w:ascii="Microsoft YaHei" w:hAnsi="Microsoft YaHei" w:eastAsia="Microsoft YaHei" w:cs="Microsoft YaHei"/>
          <w:sz w:val="28"/>
          <w:szCs w:val="28"/>
          <w:b/>
          <w:bCs/>
          <w:spacing w:val="-1"/>
        </w:rPr>
        <w:t>2</w:t>
      </w:r>
      <w:r>
        <w:rPr>
          <w:rFonts w:ascii="Microsoft YaHei" w:hAnsi="Microsoft YaHei" w:eastAsia="Microsoft YaHei" w:cs="Microsoft YaHei"/>
          <w:sz w:val="28"/>
          <w:szCs w:val="28"/>
          <w:b/>
          <w:bCs/>
          <w:color w:val="0B0B0B"/>
          <w:spacing w:val="-1"/>
        </w:rPr>
        <w:t>、上海证券交易所基金自律监管规则适用指引第2号——上市基金做市业务</w:t>
      </w:r>
      <w:r>
        <w:rPr>
          <w:rFonts w:ascii="Microsoft YaHei" w:hAnsi="Microsoft YaHei" w:eastAsia="Microsoft YaHei" w:cs="Microsoft YaHei"/>
          <w:sz w:val="28"/>
          <w:szCs w:val="28"/>
          <w:b/>
          <w:bCs/>
          <w:color w:val="0B0B0B"/>
          <w:spacing w:val="18"/>
        </w:rPr>
        <w:t xml:space="preserve"> </w:t>
      </w:r>
      <w:r>
        <w:rPr>
          <w:rFonts w:ascii="Microsoft YaHei" w:hAnsi="Microsoft YaHei" w:eastAsia="Microsoft YaHei" w:cs="Microsoft YaHei"/>
          <w:sz w:val="28"/>
          <w:szCs w:val="28"/>
          <w:b/>
          <w:bCs/>
          <w:color w:val="0B0B0B"/>
          <w:spacing w:val="-5"/>
        </w:rPr>
        <w:t>（2024年修订）</w:t>
      </w:r>
    </w:p>
    <w:p>
      <w:pPr>
        <w:pStyle w:val="BodyText"/>
        <w:spacing w:line="429" w:lineRule="auto"/>
        <w:rPr/>
      </w:pPr>
      <w:r/>
    </w:p>
    <w:p>
      <w:pPr>
        <w:ind w:left="1141"/>
        <w:spacing w:before="103" w:line="184" w:lineRule="auto"/>
        <w:rPr>
          <w:rFonts w:ascii="Microsoft YaHei" w:hAnsi="Microsoft YaHei" w:eastAsia="Microsoft YaHei" w:cs="Microsoft YaHei"/>
          <w:sz w:val="24"/>
          <w:szCs w:val="24"/>
        </w:rPr>
      </w:pPr>
      <w:r>
        <w:rPr>
          <w:rFonts w:ascii="Microsoft YaHei" w:hAnsi="Microsoft YaHei" w:eastAsia="Microsoft YaHei" w:cs="Microsoft YaHei"/>
          <w:sz w:val="24"/>
          <w:szCs w:val="24"/>
          <w:color w:val="0B0B0B"/>
          <w:spacing w:val="-1"/>
        </w:rPr>
        <w:t>各市场参与人：</w:t>
      </w:r>
    </w:p>
    <w:p>
      <w:pPr>
        <w:pStyle w:val="BodyText"/>
        <w:spacing w:line="382" w:lineRule="auto"/>
        <w:rPr/>
      </w:pPr>
      <w:r/>
    </w:p>
    <w:p>
      <w:pPr>
        <w:ind w:left="663" w:right="555" w:firstLine="485"/>
        <w:spacing w:before="103" w:line="329" w:lineRule="auto"/>
        <w:rPr>
          <w:rFonts w:ascii="Microsoft YaHei" w:hAnsi="Microsoft YaHei" w:eastAsia="Microsoft YaHei" w:cs="Microsoft YaHei"/>
          <w:sz w:val="24"/>
          <w:szCs w:val="24"/>
        </w:rPr>
      </w:pPr>
      <w:r>
        <w:rPr>
          <w:rFonts w:ascii="Microsoft YaHei" w:hAnsi="Microsoft YaHei" w:eastAsia="Microsoft YaHei" w:cs="Microsoft YaHei"/>
          <w:sz w:val="24"/>
          <w:szCs w:val="24"/>
          <w:color w:val="0B0B0B"/>
          <w:spacing w:val="-5"/>
        </w:rPr>
        <w:t>为了进一步发挥基金做市商功能， 上海证券交易所 （以下简称本所） 对《上海证券交易所基金自</w:t>
      </w:r>
      <w:r>
        <w:rPr>
          <w:rFonts w:ascii="Microsoft YaHei" w:hAnsi="Microsoft YaHei" w:eastAsia="Microsoft YaHei" w:cs="Microsoft YaHei"/>
          <w:sz w:val="24"/>
          <w:szCs w:val="24"/>
          <w:color w:val="0B0B0B"/>
          <w:spacing w:val="2"/>
        </w:rPr>
        <w:t xml:space="preserve"> </w:t>
      </w:r>
      <w:r>
        <w:rPr>
          <w:rFonts w:ascii="Microsoft YaHei" w:hAnsi="Microsoft YaHei" w:eastAsia="Microsoft YaHei" w:cs="Microsoft YaHei"/>
          <w:sz w:val="24"/>
          <w:szCs w:val="24"/>
          <w:color w:val="0B0B0B"/>
          <w:spacing w:val="-2"/>
        </w:rPr>
        <w:t>律监管规则适用指引第2号——上市基金做市业务》进行了修订， 细化了做市义务豁免情形。修订后</w:t>
      </w:r>
      <w:r>
        <w:rPr>
          <w:rFonts w:ascii="Microsoft YaHei" w:hAnsi="Microsoft YaHei" w:eastAsia="Microsoft YaHei" w:cs="Microsoft YaHei"/>
          <w:sz w:val="24"/>
          <w:szCs w:val="24"/>
          <w:color w:val="0B0B0B"/>
          <w:spacing w:val="7"/>
        </w:rPr>
        <w:t xml:space="preserve">  </w:t>
      </w:r>
      <w:r>
        <w:rPr>
          <w:rFonts w:ascii="Microsoft YaHei" w:hAnsi="Microsoft YaHei" w:eastAsia="Microsoft YaHei" w:cs="Microsoft YaHei"/>
          <w:sz w:val="24"/>
          <w:szCs w:val="24"/>
          <w:color w:val="0B0B0B"/>
          <w:spacing w:val="-1"/>
        </w:rPr>
        <w:t>的指引现予以发布， 并自2024年7月21日起实施。本</w:t>
      </w:r>
      <w:r>
        <w:rPr>
          <w:rFonts w:ascii="Microsoft YaHei" w:hAnsi="Microsoft YaHei" w:eastAsia="Microsoft YaHei" w:cs="Microsoft YaHei"/>
          <w:sz w:val="24"/>
          <w:szCs w:val="24"/>
          <w:color w:val="0B0B0B"/>
          <w:spacing w:val="-2"/>
        </w:rPr>
        <w:t>所于2023年11月29日发布的《上海证券交易所</w:t>
      </w:r>
      <w:r>
        <w:rPr>
          <w:rFonts w:ascii="Microsoft YaHei" w:hAnsi="Microsoft YaHei" w:eastAsia="Microsoft YaHei" w:cs="Microsoft YaHei"/>
          <w:sz w:val="24"/>
          <w:szCs w:val="24"/>
          <w:color w:val="0B0B0B"/>
        </w:rPr>
        <w:t xml:space="preserve"> </w:t>
      </w:r>
      <w:r>
        <w:rPr>
          <w:rFonts w:ascii="Microsoft YaHei" w:hAnsi="Microsoft YaHei" w:eastAsia="Microsoft YaHei" w:cs="Microsoft YaHei"/>
          <w:sz w:val="24"/>
          <w:szCs w:val="24"/>
          <w:color w:val="0B0B0B"/>
          <w:spacing w:val="-5"/>
        </w:rPr>
        <w:t>基金自律监管规则适用指引第2号——上市基金做市业务 （</w:t>
      </w:r>
      <w:r>
        <w:rPr>
          <w:rFonts w:ascii="Microsoft YaHei" w:hAnsi="Microsoft YaHei" w:eastAsia="Microsoft YaHei" w:cs="Microsoft YaHei"/>
          <w:sz w:val="24"/>
          <w:szCs w:val="24"/>
          <w:color w:val="0B0B0B"/>
          <w:spacing w:val="-6"/>
        </w:rPr>
        <w:t>2023年修订） 》 （上证发〔</w:t>
      </w:r>
      <w:r>
        <w:rPr>
          <w:rFonts w:ascii="Microsoft YaHei" w:hAnsi="Microsoft YaHei" w:eastAsia="Microsoft YaHei" w:cs="Microsoft YaHei"/>
          <w:sz w:val="24"/>
          <w:szCs w:val="24"/>
          <w:color w:val="0B0B0B"/>
          <w:spacing w:val="-34"/>
        </w:rPr>
        <w:t xml:space="preserve"> </w:t>
      </w:r>
      <w:r>
        <w:rPr>
          <w:rFonts w:ascii="Microsoft YaHei" w:hAnsi="Microsoft YaHei" w:eastAsia="Microsoft YaHei" w:cs="Microsoft YaHei"/>
          <w:sz w:val="24"/>
          <w:szCs w:val="24"/>
          <w:color w:val="0B0B0B"/>
          <w:spacing w:val="-6"/>
        </w:rPr>
        <w:t>2023〕</w:t>
      </w:r>
      <w:r>
        <w:rPr>
          <w:rFonts w:ascii="Microsoft YaHei" w:hAnsi="Microsoft YaHei" w:eastAsia="Microsoft YaHei" w:cs="Microsoft YaHei"/>
          <w:sz w:val="24"/>
          <w:szCs w:val="24"/>
          <w:color w:val="0B0B0B"/>
          <w:spacing w:val="-45"/>
        </w:rPr>
        <w:t xml:space="preserve"> </w:t>
      </w:r>
      <w:r>
        <w:rPr>
          <w:rFonts w:ascii="Microsoft YaHei" w:hAnsi="Microsoft YaHei" w:eastAsia="Microsoft YaHei" w:cs="Microsoft YaHei"/>
          <w:sz w:val="24"/>
          <w:szCs w:val="24"/>
          <w:color w:val="0B0B0B"/>
          <w:spacing w:val="-6"/>
        </w:rPr>
        <w:t>190</w:t>
      </w:r>
      <w:r>
        <w:rPr>
          <w:rFonts w:ascii="Microsoft YaHei" w:hAnsi="Microsoft YaHei" w:eastAsia="Microsoft YaHei" w:cs="Microsoft YaHei"/>
          <w:sz w:val="24"/>
          <w:szCs w:val="24"/>
          <w:color w:val="0B0B0B"/>
        </w:rPr>
        <w:t xml:space="preserve">   </w:t>
      </w:r>
      <w:r>
        <w:rPr>
          <w:rFonts w:ascii="Microsoft YaHei" w:hAnsi="Microsoft YaHei" w:eastAsia="Microsoft YaHei" w:cs="Microsoft YaHei"/>
          <w:sz w:val="24"/>
          <w:szCs w:val="24"/>
          <w:color w:val="0B0B0B"/>
          <w:spacing w:val="-10"/>
        </w:rPr>
        <w:t>号） 同时废止。</w:t>
      </w:r>
    </w:p>
    <w:p>
      <w:pPr>
        <w:pStyle w:val="BodyText"/>
        <w:spacing w:line="426" w:lineRule="auto"/>
        <w:rPr/>
      </w:pPr>
      <w:r/>
    </w:p>
    <w:p>
      <w:pPr>
        <w:ind w:left="1140"/>
        <w:spacing w:before="103" w:line="183" w:lineRule="auto"/>
        <w:rPr>
          <w:rFonts w:ascii="Microsoft YaHei" w:hAnsi="Microsoft YaHei" w:eastAsia="Microsoft YaHei" w:cs="Microsoft YaHei"/>
          <w:sz w:val="24"/>
          <w:szCs w:val="24"/>
        </w:rPr>
      </w:pPr>
      <w:r>
        <w:rPr>
          <w:rFonts w:ascii="Microsoft YaHei" w:hAnsi="Microsoft YaHei" w:eastAsia="Microsoft YaHei" w:cs="Microsoft YaHei"/>
          <w:sz w:val="24"/>
          <w:szCs w:val="24"/>
          <w:color w:val="0B0B0B"/>
          <w:spacing w:val="-1"/>
        </w:rPr>
        <w:t>特此通知。</w:t>
      </w:r>
    </w:p>
    <w:p>
      <w:pPr>
        <w:pStyle w:val="BodyText"/>
        <w:spacing w:line="425" w:lineRule="auto"/>
        <w:rPr/>
      </w:pPr>
      <w:r/>
    </w:p>
    <w:p>
      <w:pPr>
        <w:ind w:left="9718"/>
        <w:spacing w:before="103" w:line="183" w:lineRule="auto"/>
        <w:rPr>
          <w:rFonts w:ascii="Microsoft YaHei" w:hAnsi="Microsoft YaHei" w:eastAsia="Microsoft YaHei" w:cs="Microsoft YaHei"/>
          <w:sz w:val="24"/>
          <w:szCs w:val="24"/>
        </w:rPr>
      </w:pPr>
      <w:r>
        <w:rPr>
          <w:rFonts w:ascii="Microsoft YaHei" w:hAnsi="Microsoft YaHei" w:eastAsia="Microsoft YaHei" w:cs="Microsoft YaHei"/>
          <w:sz w:val="24"/>
          <w:szCs w:val="24"/>
          <w:spacing w:val="-1"/>
        </w:rPr>
        <w:t>上海证券交易所</w:t>
      </w:r>
    </w:p>
    <w:p>
      <w:pPr>
        <w:pStyle w:val="BodyText"/>
        <w:spacing w:line="427" w:lineRule="auto"/>
        <w:rPr/>
      </w:pPr>
      <w:r/>
    </w:p>
    <w:p>
      <w:pPr>
        <w:ind w:left="9702"/>
        <w:spacing w:before="104" w:line="183" w:lineRule="auto"/>
        <w:rPr>
          <w:rFonts w:ascii="Microsoft YaHei" w:hAnsi="Microsoft YaHei" w:eastAsia="Microsoft YaHei" w:cs="Microsoft YaHei"/>
          <w:sz w:val="24"/>
          <w:szCs w:val="24"/>
        </w:rPr>
      </w:pPr>
      <w:r>
        <w:rPr>
          <w:rFonts w:ascii="Microsoft YaHei" w:hAnsi="Microsoft YaHei" w:eastAsia="Microsoft YaHei" w:cs="Microsoft YaHei"/>
          <w:sz w:val="24"/>
          <w:szCs w:val="24"/>
          <w:spacing w:val="-2"/>
        </w:rPr>
        <w:t>2024年7月21日</w:t>
      </w:r>
    </w:p>
    <w:p>
      <w:pPr>
        <w:ind w:firstLine="4504"/>
        <w:spacing w:before="160" w:line="2700" w:lineRule="exact"/>
        <w:rPr/>
      </w:pPr>
      <w:r>
        <w:rPr>
          <w:position w:val="-54"/>
        </w:rPr>
        <w:drawing>
          <wp:inline distT="0" distB="0" distL="0" distR="0">
            <wp:extent cx="1714500" cy="1714500"/>
            <wp:effectExtent l="0" t="0" r="0" b="0"/>
            <wp:docPr id="12" name="IM 12"/>
            <wp:cNvGraphicFramePr/>
            <a:graphic>
              <a:graphicData uri="http://schemas.openxmlformats.org/drawingml/2006/picture">
                <pic:pic>
                  <pic:nvPicPr>
                    <pic:cNvPr id="12" name="IM 12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714500" cy="1714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line="299" w:lineRule="auto"/>
        <w:rPr/>
      </w:pPr>
      <w:r/>
    </w:p>
    <w:p>
      <w:pPr>
        <w:ind w:left="1509"/>
        <w:spacing w:before="104" w:line="225" w:lineRule="auto"/>
        <w:rPr>
          <w:rFonts w:ascii="Microsoft YaHei" w:hAnsi="Microsoft YaHei" w:eastAsia="Microsoft YaHei" w:cs="Microsoft YaHei"/>
          <w:sz w:val="24"/>
          <w:szCs w:val="24"/>
        </w:rPr>
      </w:pPr>
      <w:r>
        <w:rPr>
          <w:rFonts w:ascii="Microsoft YaHei" w:hAnsi="Microsoft YaHei" w:eastAsia="Microsoft YaHei" w:cs="Microsoft YaHei"/>
          <w:sz w:val="24"/>
          <w:szCs w:val="24"/>
          <w:b/>
          <w:bCs/>
          <w:color w:val="0B0B0B"/>
          <w:spacing w:val="-2"/>
        </w:rPr>
        <w:t>上海证券交易所基金自律监管规则适用指引第2号——上市基金做市业务 （2024年修订）</w:t>
      </w:r>
    </w:p>
    <w:p>
      <w:pPr>
        <w:spacing w:line="225" w:lineRule="auto"/>
        <w:sectPr>
          <w:pgSz w:w="11910" w:h="16840"/>
          <w:pgMar w:top="1" w:right="134" w:bottom="0" w:left="0" w:header="0" w:footer="0" w:gutter="0"/>
        </w:sectPr>
        <w:rPr>
          <w:rFonts w:ascii="Microsoft YaHei" w:hAnsi="Microsoft YaHei" w:eastAsia="Microsoft YaHei" w:cs="Microsoft YaHei"/>
          <w:sz w:val="24"/>
          <w:szCs w:val="24"/>
        </w:rPr>
      </w:pPr>
    </w:p>
    <w:p>
      <w:pPr>
        <w:ind w:firstLine="26"/>
        <w:spacing w:line="1137" w:lineRule="exact"/>
        <w:rPr/>
      </w:pPr>
      <w:r>
        <w:rPr>
          <w:position w:val="-22"/>
        </w:rPr>
        <w:pict>
          <v:group id="_x0000_s6" style="mso-position-vertical-relative:line;mso-position-horizontal-relative:char;width:67.85pt;height:56.9pt;" filled="false" stroked="false" coordsize="1356,1138" coordorigin="0,0">
            <v:shape id="_x0000_s8" style="position:absolute;left:0;top:0;width:1356;height:1138;" fillcolor="#A61C1F" filled="true" stroked="false" coordsize="1356,1138" coordorigin="0,0" path="m,l1356,0l1356,1137l0,1137l0,0xe"/>
            <v:shape id="_x0000_s10" style="position:absolute;left:236;top:112;width:819;height:913;" fillcolor="#FFFFFF" filled="true" stroked="false" coordsize="819,913" coordorigin="0,0" path="m595,777l223,777l213,770l213,730l223,725l595,725l605,730l605,770l595,777xm582,708l237,708l225,699l225,688l213,635l181,584l136,533l88,480l44,424l12,362l0,298l0,290l5,238l22,188l50,144l84,105l127,73l176,47l231,25l287,10l347,3l409,0l470,3l530,10l587,25l641,47l690,73l733,105l736,109l366,109l359,117l359,125l355,149l353,152l233,152l201,175l189,185l177,195l172,200l172,209l177,215l207,243l209,245l209,249l202,259l196,269l191,280l185,290l185,292l183,292l181,294l171,294l124,298l116,303l116,370l124,375l136,377l181,382l183,382l185,383l185,385l191,395l196,405l202,415l209,425l209,429l201,438l192,445l177,460l172,465l172,474l177,480l225,517l233,522l353,522l356,539l359,549l359,559l366,565l648,565l637,578l605,630l592,688l592,699l582,708xm525,183l523,182l497,172l483,168l469,165l467,165l467,163l465,160l465,149l461,137l461,125l459,117l451,109l736,109l768,144l773,152l586,152l575,154l566,158l530,182l528,182l525,183xm293,183l291,182l289,182l281,175l271,170l261,164l251,158l243,154l233,152l353,152l352,160l352,163l350,165l349,165l335,168l321,172l307,177l294,182l293,183xm686,522l586,522l647,474l645,465l640,460l625,445l617,438l608,429l608,428l610,425l616,415l621,405l627,395l632,385l632,383l635,382l638,382l683,377l693,375l703,370l703,303l693,298l683,297l648,294l638,294l635,292l632,292l632,290l627,280l621,269l616,259l610,249l608,248l608,245l610,243l640,215l645,209l647,200l640,195l628,185l616,175l592,158l586,152l773,152l795,188l812,238l818,290l818,298l805,362l773,422l729,475l686,522xm410,448l355,439l308,415l278,380l267,337l278,295l308,260l355,235l410,228l465,235l509,260l539,295l550,337l539,380l509,415l465,439l410,448xm353,522l243,522l251,515l261,510l271,505l281,500l289,494l291,492l294,492l307,498l321,503l335,505l349,509l352,512l352,515l353,522xm648,565l451,565l459,559l461,549l461,539l465,525l465,514l467,512l467,510l469,509l497,503l510,498l523,492l528,492l530,494l539,500l548,505l557,510l566,515l575,522l686,522l681,527l648,565xm560,912l257,912l247,905l247,865l257,859l560,859l570,865l570,905l560,912xm582,845l235,845l227,839l227,797l235,790l582,790l592,797l592,839l582,845e"/>
          </v:group>
        </w:pict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spacing w:before="302" w:line="186" w:lineRule="auto"/>
        <w:rPr>
          <w:rFonts w:ascii="Microsoft YaHei" w:hAnsi="Microsoft YaHei" w:eastAsia="Microsoft YaHei" w:cs="Microsoft YaHei"/>
          <w:sz w:val="43"/>
          <w:szCs w:val="43"/>
        </w:rPr>
      </w:pPr>
      <w:r>
        <w:rPr>
          <w:rFonts w:ascii="Microsoft YaHei" w:hAnsi="Microsoft YaHei" w:eastAsia="Microsoft YaHei" w:cs="Microsoft YaHei"/>
          <w:sz w:val="43"/>
          <w:szCs w:val="43"/>
          <w:spacing w:val="7"/>
        </w:rPr>
        <w:t>监管动态</w:t>
      </w:r>
    </w:p>
    <w:p>
      <w:pPr>
        <w:spacing w:line="186" w:lineRule="auto"/>
        <w:sectPr>
          <w:pgSz w:w="11910" w:h="16840"/>
          <w:pgMar w:top="343" w:right="48" w:bottom="0" w:left="0" w:header="0" w:footer="0" w:gutter="0"/>
          <w:cols w:equalWidth="0" w:num="2">
            <w:col w:w="1580" w:space="100"/>
            <w:col w:w="10183" w:space="0"/>
          </w:cols>
        </w:sectPr>
        <w:rPr>
          <w:rFonts w:ascii="Microsoft YaHei" w:hAnsi="Microsoft YaHei" w:eastAsia="Microsoft YaHei" w:cs="Microsoft YaHei"/>
          <w:sz w:val="43"/>
          <w:szCs w:val="43"/>
        </w:rPr>
      </w:pPr>
    </w:p>
    <w:p>
      <w:pPr>
        <w:pStyle w:val="BodyText"/>
        <w:spacing w:line="479" w:lineRule="auto"/>
        <w:rPr/>
      </w:pPr>
      <w:r>
        <w:drawing>
          <wp:anchor distT="0" distB="0" distL="0" distR="0" simplePos="0" relativeHeight="251664384" behindDoc="0" locked="0" layoutInCell="1" allowOverlap="1">
            <wp:simplePos x="0" y="0"/>
            <wp:positionH relativeFrom="column">
              <wp:posOffset>857250</wp:posOffset>
            </wp:positionH>
            <wp:positionV relativeFrom="paragraph">
              <wp:posOffset>-34404</wp:posOffset>
            </wp:positionV>
            <wp:extent cx="6675119" cy="32245"/>
            <wp:effectExtent l="0" t="0" r="0" b="0"/>
            <wp:wrapNone/>
            <wp:docPr id="14" name="IM 14"/>
            <wp:cNvGraphicFramePr/>
            <a:graphic>
              <a:graphicData uri="http://schemas.openxmlformats.org/drawingml/2006/picture">
                <pic:pic>
                  <pic:nvPicPr>
                    <pic:cNvPr id="14" name="IM 14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75119" cy="322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/>
    </w:p>
    <w:p>
      <w:pPr>
        <w:spacing w:line="924" w:lineRule="exact"/>
        <w:rPr/>
      </w:pPr>
      <w:r>
        <w:rPr>
          <w:position w:val="-18"/>
        </w:rPr>
        <w:pict>
          <v:group id="_x0000_s12" style="mso-position-vertical-relative:line;mso-position-horizontal-relative:char;width:134.3pt;height:46.25pt;" filled="false" stroked="false" coordsize="2686,925" coordorigin="0,0">
            <v:shape id="_x0000_s14" style="position:absolute;left:0;top:0;width:2686;height:925;" filled="false" stroked="false" type="#_x0000_t75">
              <v:imagedata o:title="" r:id="rId9"/>
            </v:shape>
            <v:shape id="_x0000_s16" style="position:absolute;left:-20;top:-20;width:2726;height:965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ind w:left="483"/>
                      <w:spacing w:before="249" w:line="184" w:lineRule="auto"/>
                      <w:rPr>
                        <w:rFonts w:ascii="Microsoft YaHei" w:hAnsi="Microsoft YaHei" w:eastAsia="Microsoft YaHei" w:cs="Microsoft YaHei"/>
                        <w:sz w:val="28"/>
                        <w:szCs w:val="28"/>
                      </w:rPr>
                    </w:pPr>
                    <w:r>
                      <w:rPr>
                        <w:rFonts w:ascii="Microsoft YaHei" w:hAnsi="Microsoft YaHei" w:eastAsia="Microsoft YaHei" w:cs="Microsoft YaHei"/>
                        <w:sz w:val="28"/>
                        <w:szCs w:val="28"/>
                        <w:b/>
                        <w:bCs/>
                        <w:color w:val="FFFFFF"/>
                        <w:spacing w:val="-2"/>
                      </w:rPr>
                      <w:t>市场监管概览</w:t>
                    </w:r>
                  </w:p>
                </w:txbxContent>
              </v:textbox>
            </v:shape>
          </v:group>
        </w:pict>
      </w:r>
    </w:p>
    <w:p>
      <w:pPr>
        <w:pStyle w:val="BodyText"/>
        <w:spacing w:line="276" w:lineRule="auto"/>
        <w:rPr/>
      </w:pPr>
      <w:r/>
    </w:p>
    <w:p>
      <w:pPr>
        <w:pStyle w:val="BodyText"/>
        <w:spacing w:line="277" w:lineRule="auto"/>
        <w:rPr/>
      </w:pPr>
      <w:r/>
    </w:p>
    <w:p>
      <w:pPr>
        <w:pStyle w:val="BodyText"/>
        <w:spacing w:line="277" w:lineRule="auto"/>
        <w:rPr/>
      </w:pPr>
      <w:r/>
    </w:p>
    <w:p>
      <w:pPr>
        <w:pStyle w:val="BodyText"/>
        <w:spacing w:line="277" w:lineRule="auto"/>
        <w:rPr/>
      </w:pPr>
      <w:r>
        <w:drawing>
          <wp:anchor distT="0" distB="0" distL="0" distR="0" simplePos="0" relativeHeight="251663360" behindDoc="0" locked="0" layoutInCell="1" allowOverlap="1">
            <wp:simplePos x="0" y="0"/>
            <wp:positionH relativeFrom="column">
              <wp:posOffset>145414</wp:posOffset>
            </wp:positionH>
            <wp:positionV relativeFrom="paragraph">
              <wp:posOffset>123338</wp:posOffset>
            </wp:positionV>
            <wp:extent cx="3554729" cy="2089150"/>
            <wp:effectExtent l="0" t="0" r="0" b="0"/>
            <wp:wrapNone/>
            <wp:docPr id="16" name="IM 16"/>
            <wp:cNvGraphicFramePr/>
            <a:graphic>
              <a:graphicData uri="http://schemas.openxmlformats.org/drawingml/2006/picture">
                <pic:pic>
                  <pic:nvPicPr>
                    <pic:cNvPr id="16" name="IM 16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3554729" cy="20891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/>
    </w:p>
    <w:p>
      <w:pPr>
        <w:ind w:left="6161" w:right="613" w:firstLine="488"/>
        <w:spacing w:before="103" w:line="335" w:lineRule="auto"/>
        <w:jc w:val="both"/>
        <w:rPr>
          <w:rFonts w:ascii="Microsoft YaHei" w:hAnsi="Microsoft YaHei" w:eastAsia="Microsoft YaHei" w:cs="Microsoft YaHei"/>
          <w:sz w:val="24"/>
          <w:szCs w:val="24"/>
        </w:rPr>
      </w:pPr>
      <w:r>
        <w:rPr>
          <w:rFonts w:ascii="Microsoft YaHei" w:hAnsi="Microsoft YaHei" w:eastAsia="Microsoft YaHei" w:cs="Microsoft YaHei"/>
          <w:sz w:val="24"/>
          <w:szCs w:val="24"/>
        </w:rPr>
        <w:t>2024年7月15日-7月21日， 证</w:t>
      </w:r>
      <w:r>
        <w:rPr>
          <w:rFonts w:ascii="Microsoft YaHei" w:hAnsi="Microsoft YaHei" w:eastAsia="Microsoft YaHei" w:cs="Microsoft YaHei"/>
          <w:sz w:val="24"/>
          <w:szCs w:val="24"/>
          <w:spacing w:val="-1"/>
        </w:rPr>
        <w:t>监局作出8份</w:t>
      </w:r>
      <w:r>
        <w:rPr>
          <w:rFonts w:ascii="Microsoft YaHei" w:hAnsi="Microsoft YaHei" w:eastAsia="Microsoft YaHei" w:cs="Microsoft YaHei"/>
          <w:sz w:val="24"/>
          <w:szCs w:val="24"/>
        </w:rPr>
        <w:t xml:space="preserve"> </w:t>
      </w:r>
      <w:r>
        <w:rPr>
          <w:rFonts w:ascii="Microsoft YaHei" w:hAnsi="Microsoft YaHei" w:eastAsia="Microsoft YaHei" w:cs="Microsoft YaHei"/>
          <w:sz w:val="24"/>
          <w:szCs w:val="24"/>
        </w:rPr>
        <w:t>监管文书； 上交所作出4份监管文书； 深交所作</w:t>
      </w:r>
      <w:r>
        <w:rPr>
          <w:rFonts w:ascii="Microsoft YaHei" w:hAnsi="Microsoft YaHei" w:eastAsia="Microsoft YaHei" w:cs="Microsoft YaHei"/>
          <w:sz w:val="24"/>
          <w:szCs w:val="24"/>
          <w:spacing w:val="1"/>
        </w:rPr>
        <w:t xml:space="preserve"> </w:t>
      </w:r>
      <w:r>
        <w:rPr>
          <w:rFonts w:ascii="Microsoft YaHei" w:hAnsi="Microsoft YaHei" w:eastAsia="Microsoft YaHei" w:cs="Microsoft YaHei"/>
          <w:sz w:val="24"/>
          <w:szCs w:val="24"/>
          <w:spacing w:val="-1"/>
        </w:rPr>
        <w:t>出4份监管文书。</w:t>
      </w:r>
    </w:p>
    <w:p>
      <w:pPr>
        <w:ind w:left="6162" w:right="613" w:firstLine="479"/>
        <w:spacing w:before="40" w:line="335" w:lineRule="auto"/>
        <w:rPr>
          <w:rFonts w:ascii="Microsoft YaHei" w:hAnsi="Microsoft YaHei" w:eastAsia="Microsoft YaHei" w:cs="Microsoft YaHei"/>
          <w:sz w:val="24"/>
          <w:szCs w:val="24"/>
        </w:rPr>
      </w:pPr>
      <w:r>
        <w:rPr>
          <w:rFonts w:ascii="Microsoft YaHei" w:hAnsi="Microsoft YaHei" w:eastAsia="Microsoft YaHei" w:cs="Microsoft YaHei"/>
          <w:sz w:val="24"/>
          <w:szCs w:val="24"/>
          <w:spacing w:val="16"/>
        </w:rPr>
        <w:t>上周， 证监局作出7份行政监管措施决定</w:t>
      </w:r>
      <w:r>
        <w:rPr>
          <w:rFonts w:ascii="Microsoft YaHei" w:hAnsi="Microsoft YaHei" w:eastAsia="Microsoft YaHei" w:cs="Microsoft YaHei"/>
          <w:sz w:val="24"/>
          <w:szCs w:val="24"/>
          <w:spacing w:val="10"/>
        </w:rPr>
        <w:t xml:space="preserve"> </w:t>
      </w:r>
      <w:r>
        <w:rPr>
          <w:rFonts w:ascii="Microsoft YaHei" w:hAnsi="Microsoft YaHei" w:eastAsia="Microsoft YaHei" w:cs="Microsoft YaHei"/>
          <w:sz w:val="24"/>
          <w:szCs w:val="24"/>
          <w:spacing w:val="-1"/>
        </w:rPr>
        <w:t>书,1份行政处罚决定书。</w:t>
      </w:r>
    </w:p>
    <w:p>
      <w:pPr>
        <w:ind w:left="6123" w:right="521" w:firstLine="520"/>
        <w:spacing w:before="2" w:line="336" w:lineRule="auto"/>
        <w:jc w:val="both"/>
        <w:rPr>
          <w:rFonts w:ascii="Microsoft YaHei" w:hAnsi="Microsoft YaHei" w:eastAsia="Microsoft YaHei" w:cs="Microsoft YaHei"/>
          <w:sz w:val="24"/>
          <w:szCs w:val="24"/>
        </w:rPr>
      </w:pPr>
      <w:r>
        <w:drawing>
          <wp:anchor distT="0" distB="0" distL="0" distR="0" simplePos="0" relativeHeight="251662336" behindDoc="0" locked="0" layoutInCell="1" allowOverlap="1">
            <wp:simplePos x="0" y="0"/>
            <wp:positionH relativeFrom="column">
              <wp:posOffset>115887</wp:posOffset>
            </wp:positionH>
            <wp:positionV relativeFrom="paragraph">
              <wp:posOffset>346240</wp:posOffset>
            </wp:positionV>
            <wp:extent cx="3576320" cy="2214879"/>
            <wp:effectExtent l="0" t="0" r="0" b="0"/>
            <wp:wrapNone/>
            <wp:docPr id="18" name="IM 18"/>
            <wp:cNvGraphicFramePr/>
            <a:graphic>
              <a:graphicData uri="http://schemas.openxmlformats.org/drawingml/2006/picture">
                <pic:pic>
                  <pic:nvPicPr>
                    <pic:cNvPr id="18" name="IM 18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3576320" cy="221487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Microsoft YaHei" w:hAnsi="Microsoft YaHei" w:eastAsia="Microsoft YaHei" w:cs="Microsoft YaHei"/>
          <w:sz w:val="24"/>
          <w:szCs w:val="24"/>
          <w:spacing w:val="-4"/>
        </w:rPr>
        <w:t>上周， 上交所公司监管部门作出4份监管警示</w:t>
      </w:r>
      <w:r>
        <w:rPr>
          <w:rFonts w:ascii="Microsoft YaHei" w:hAnsi="Microsoft YaHei" w:eastAsia="Microsoft YaHei" w:cs="Microsoft YaHei"/>
          <w:sz w:val="24"/>
          <w:szCs w:val="24"/>
          <w:spacing w:val="6"/>
        </w:rPr>
        <w:t xml:space="preserve"> </w:t>
      </w:r>
      <w:r>
        <w:rPr>
          <w:rFonts w:ascii="Microsoft YaHei" w:hAnsi="Microsoft YaHei" w:eastAsia="Microsoft YaHei" w:cs="Microsoft YaHei"/>
          <w:sz w:val="24"/>
          <w:szCs w:val="24"/>
          <w:spacing w:val="12"/>
        </w:rPr>
        <w:t>函</w:t>
      </w:r>
      <w:r>
        <w:rPr>
          <w:rFonts w:ascii="Microsoft YaHei" w:hAnsi="Microsoft YaHei" w:eastAsia="Microsoft YaHei" w:cs="Microsoft YaHei"/>
          <w:sz w:val="24"/>
          <w:szCs w:val="24"/>
          <w:spacing w:val="-21"/>
        </w:rPr>
        <w:t xml:space="preserve"> </w:t>
      </w:r>
      <w:r>
        <w:rPr>
          <w:rFonts w:ascii="Microsoft YaHei" w:hAnsi="Microsoft YaHei" w:eastAsia="Microsoft YaHei" w:cs="Microsoft YaHei"/>
          <w:sz w:val="24"/>
          <w:szCs w:val="24"/>
          <w:spacing w:val="12"/>
        </w:rPr>
        <w:t>。</w:t>
      </w:r>
      <w:r>
        <w:rPr>
          <w:rFonts w:ascii="Microsoft YaHei" w:hAnsi="Microsoft YaHei" w:eastAsia="Microsoft YaHei" w:cs="Microsoft YaHei"/>
          <w:sz w:val="24"/>
          <w:szCs w:val="24"/>
          <w:spacing w:val="-29"/>
        </w:rPr>
        <w:t xml:space="preserve"> </w:t>
      </w:r>
      <w:r>
        <w:rPr>
          <w:rFonts w:ascii="Microsoft YaHei" w:hAnsi="Microsoft YaHei" w:eastAsia="Microsoft YaHei" w:cs="Microsoft YaHei"/>
          <w:sz w:val="24"/>
          <w:szCs w:val="24"/>
          <w:spacing w:val="12"/>
        </w:rPr>
        <w:t>同时， 加大信息披露和股价异常的联动监</w:t>
      </w:r>
      <w:r>
        <w:rPr>
          <w:rFonts w:ascii="Microsoft YaHei" w:hAnsi="Microsoft YaHei" w:eastAsia="Microsoft YaHei" w:cs="Microsoft YaHei"/>
          <w:sz w:val="24"/>
          <w:szCs w:val="24"/>
        </w:rPr>
        <w:t xml:space="preserve"> </w:t>
      </w:r>
      <w:r>
        <w:rPr>
          <w:rFonts w:ascii="Microsoft YaHei" w:hAnsi="Microsoft YaHei" w:eastAsia="Microsoft YaHei" w:cs="Microsoft YaHei"/>
          <w:sz w:val="24"/>
          <w:szCs w:val="24"/>
          <w:spacing w:val="4"/>
        </w:rPr>
        <w:t>管， 针对公司披露敏感信息或股价发生明显异常</w:t>
      </w:r>
      <w:r>
        <w:rPr>
          <w:rFonts w:ascii="Microsoft YaHei" w:hAnsi="Microsoft YaHei" w:eastAsia="Microsoft YaHei" w:cs="Microsoft YaHei"/>
          <w:sz w:val="24"/>
          <w:szCs w:val="24"/>
          <w:spacing w:val="15"/>
        </w:rPr>
        <w:t xml:space="preserve"> </w:t>
      </w:r>
      <w:r>
        <w:rPr>
          <w:rFonts w:ascii="Microsoft YaHei" w:hAnsi="Microsoft YaHei" w:eastAsia="Microsoft YaHei" w:cs="Microsoft YaHei"/>
          <w:sz w:val="24"/>
          <w:szCs w:val="24"/>
          <w:spacing w:val="-4"/>
        </w:rPr>
        <w:t>的， 提请启动内幕交易、异常交易核查13单。</w:t>
      </w:r>
    </w:p>
    <w:p>
      <w:pPr>
        <w:ind w:left="6123" w:right="613" w:firstLine="485"/>
        <w:spacing w:before="3" w:line="201" w:lineRule="auto"/>
        <w:rPr>
          <w:rFonts w:ascii="Microsoft YaHei" w:hAnsi="Microsoft YaHei" w:eastAsia="Microsoft YaHei" w:cs="Microsoft YaHei"/>
          <w:sz w:val="24"/>
          <w:szCs w:val="24"/>
        </w:rPr>
      </w:pPr>
      <w:r>
        <w:rPr>
          <w:rFonts w:ascii="Microsoft YaHei" w:hAnsi="Microsoft YaHei" w:eastAsia="Microsoft YaHei" w:cs="Microsoft YaHei"/>
          <w:sz w:val="24"/>
          <w:szCs w:val="24"/>
          <w:spacing w:val="7"/>
        </w:rPr>
        <w:t>上周， 深交所发出2份监管函,2份纪律处分</w:t>
      </w:r>
      <w:r>
        <w:rPr>
          <w:rFonts w:ascii="Microsoft YaHei" w:hAnsi="Microsoft YaHei" w:eastAsia="Microsoft YaHei" w:cs="Microsoft YaHei"/>
          <w:sz w:val="24"/>
          <w:szCs w:val="24"/>
          <w:spacing w:val="2"/>
        </w:rPr>
        <w:t xml:space="preserve"> </w:t>
      </w:r>
      <w:r>
        <w:rPr>
          <w:rFonts w:ascii="Microsoft YaHei" w:hAnsi="Microsoft YaHei" w:eastAsia="Microsoft YaHei" w:cs="Microsoft YaHei"/>
          <w:sz w:val="24"/>
          <w:szCs w:val="24"/>
          <w:spacing w:val="-2"/>
        </w:rPr>
        <w:t>措施。</w:t>
      </w:r>
    </w:p>
    <w:p>
      <w:pPr>
        <w:spacing w:line="201" w:lineRule="auto"/>
        <w:sectPr>
          <w:type w:val="continuous"/>
          <w:pgSz w:w="11910" w:h="16840"/>
          <w:pgMar w:top="343" w:right="48" w:bottom="0" w:left="0" w:header="0" w:footer="0" w:gutter="0"/>
          <w:cols w:equalWidth="0" w:num="1">
            <w:col w:w="11862" w:space="0"/>
          </w:cols>
        </w:sectPr>
        <w:rPr>
          <w:rFonts w:ascii="Microsoft YaHei" w:hAnsi="Microsoft YaHei" w:eastAsia="Microsoft YaHei" w:cs="Microsoft YaHei"/>
          <w:sz w:val="24"/>
          <w:szCs w:val="24"/>
        </w:rPr>
      </w:pPr>
    </w:p>
    <w:p>
      <w:pPr>
        <w:spacing w:line="924" w:lineRule="exact"/>
        <w:rPr/>
      </w:pPr>
      <w:r>
        <w:rPr>
          <w:position w:val="-18"/>
        </w:rPr>
        <w:pict>
          <v:group id="_x0000_s18" style="mso-position-vertical-relative:line;mso-position-horizontal-relative:char;width:188.3pt;height:46.25pt;" filled="false" stroked="false" coordsize="3766,925" coordorigin="0,0">
            <v:shape id="_x0000_s20" style="position:absolute;left:0;top:0;width:3766;height:925;" filled="false" stroked="false" type="#_x0000_t75">
              <v:imagedata o:title="" r:id="rId12"/>
            </v:shape>
            <v:shape id="_x0000_s22" style="position:absolute;left:-20;top:-20;width:3806;height:965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ind w:left="387"/>
                      <w:spacing w:before="241" w:line="183" w:lineRule="auto"/>
                      <w:rPr>
                        <w:rFonts w:ascii="Microsoft YaHei" w:hAnsi="Microsoft YaHei" w:eastAsia="Microsoft YaHei" w:cs="Microsoft YaHei"/>
                        <w:sz w:val="28"/>
                        <w:szCs w:val="28"/>
                      </w:rPr>
                    </w:pPr>
                    <w:r>
                      <w:rPr>
                        <w:rFonts w:ascii="Microsoft YaHei" w:hAnsi="Microsoft YaHei" w:eastAsia="Microsoft YaHei" w:cs="Microsoft YaHei"/>
                        <w:sz w:val="28"/>
                        <w:szCs w:val="28"/>
                        <w:b/>
                        <w:bCs/>
                        <w:color w:val="FFFFFF"/>
                        <w:spacing w:val="-1"/>
                      </w:rPr>
                      <w:t>证监会证监局监管动态</w:t>
                    </w:r>
                  </w:p>
                </w:txbxContent>
              </v:textbox>
            </v:shape>
          </v:group>
        </w:pict>
      </w:r>
    </w:p>
    <w:p>
      <w:pPr>
        <w:ind w:left="933"/>
        <w:spacing w:before="176" w:line="183" w:lineRule="auto"/>
        <w:rPr>
          <w:rFonts w:ascii="Microsoft YaHei" w:hAnsi="Microsoft YaHei" w:eastAsia="Microsoft YaHei" w:cs="Microsoft YaHei"/>
          <w:sz w:val="24"/>
          <w:szCs w:val="24"/>
        </w:rPr>
      </w:pPr>
      <w:r>
        <w:rPr>
          <w:rFonts w:ascii="Microsoft YaHei" w:hAnsi="Microsoft YaHei" w:eastAsia="Microsoft YaHei" w:cs="Microsoft YaHei"/>
          <w:sz w:val="24"/>
          <w:szCs w:val="24"/>
          <w:spacing w:val="-2"/>
        </w:rPr>
        <w:t>2024年7月15日-7月21日， 证监局作出7份行政监管措施决定书,1份行政处罚决定书。</w:t>
      </w:r>
    </w:p>
    <w:p>
      <w:pPr>
        <w:ind w:left="956"/>
        <w:spacing w:before="329" w:line="225" w:lineRule="auto"/>
        <w:outlineLvl w:val="1"/>
        <w:rPr>
          <w:rFonts w:ascii="Microsoft YaHei" w:hAnsi="Microsoft YaHei" w:eastAsia="Microsoft YaHei" w:cs="Microsoft YaHei"/>
          <w:sz w:val="24"/>
          <w:szCs w:val="24"/>
        </w:rPr>
      </w:pPr>
      <w:r>
        <w:rPr>
          <w:rFonts w:ascii="Microsoft YaHei" w:hAnsi="Microsoft YaHei" w:eastAsia="Microsoft YaHei" w:cs="Microsoft YaHei"/>
          <w:sz w:val="24"/>
          <w:szCs w:val="24"/>
          <w:b/>
          <w:bCs/>
          <w:spacing w:val="-10"/>
        </w:rPr>
        <w:t>（1） 行政处罚决定书</w:t>
      </w:r>
    </w:p>
    <w:p>
      <w:pPr>
        <w:spacing w:line="184" w:lineRule="exact"/>
        <w:rPr/>
      </w:pPr>
      <w:r/>
    </w:p>
    <w:tbl>
      <w:tblPr>
        <w:tblStyle w:val="TableNormal"/>
        <w:tblW w:w="8053" w:type="dxa"/>
        <w:tblInd w:w="1827" w:type="dxa"/>
        <w:tblLayout w:type="fixed"/>
        <w:tblBorders>
          <w:top w:val="single" w:color="4F81BD" w:sz="6" w:space="0"/>
          <w:left w:val="single" w:color="4F81BD" w:sz="6" w:space="0"/>
          <w:bottom w:val="single" w:color="4F81BD" w:sz="6" w:space="0"/>
          <w:right w:val="single" w:color="4F81BD" w:sz="6" w:space="0"/>
          <w:insideH w:val="single" w:color="4F81BD" w:sz="6" w:space="0"/>
          <w:insideV w:val="single" w:color="4F81BD" w:sz="6" w:space="0"/>
        </w:tblBorders>
      </w:tblPr>
      <w:tblGrid>
        <w:gridCol w:w="1214"/>
        <w:gridCol w:w="1343"/>
        <w:gridCol w:w="5496"/>
      </w:tblGrid>
      <w:tr>
        <w:trPr>
          <w:trHeight w:val="386" w:hRule="atLeast"/>
        </w:trPr>
        <w:tc>
          <w:tcPr>
            <w:shd w:val="clear" w:fill="4F81BD"/>
            <w:tcW w:w="1214" w:type="dxa"/>
            <w:vAlign w:val="top"/>
            <w:tcBorders>
              <w:bottom w:val="single" w:color="FFFFFF" w:sz="2" w:space="0"/>
            </w:tcBorders>
          </w:tcPr>
          <w:p>
            <w:pPr>
              <w:pStyle w:val="TableText"/>
              <w:ind w:left="182"/>
              <w:spacing w:before="110" w:line="186" w:lineRule="auto"/>
              <w:rPr/>
            </w:pPr>
            <w:r>
              <w:rPr>
                <w:b/>
                <w:bCs/>
                <w:color w:val="FFFFFF"/>
                <w:spacing w:val="8"/>
              </w:rPr>
              <w:t>公司代码</w:t>
            </w:r>
          </w:p>
        </w:tc>
        <w:tc>
          <w:tcPr>
            <w:shd w:val="clear" w:fill="4F81BD"/>
            <w:tcW w:w="1343" w:type="dxa"/>
            <w:vAlign w:val="top"/>
            <w:tcBorders>
              <w:bottom w:val="single" w:color="FFFFFF" w:sz="2" w:space="0"/>
            </w:tcBorders>
          </w:tcPr>
          <w:p>
            <w:pPr>
              <w:pStyle w:val="TableText"/>
              <w:ind w:left="242"/>
              <w:spacing w:before="111" w:line="185" w:lineRule="auto"/>
              <w:rPr/>
            </w:pPr>
            <w:r>
              <w:rPr>
                <w:b/>
                <w:bCs/>
                <w:color w:val="FFFFFF"/>
                <w:spacing w:val="8"/>
              </w:rPr>
              <w:t>公司简称</w:t>
            </w:r>
          </w:p>
        </w:tc>
        <w:tc>
          <w:tcPr>
            <w:shd w:val="clear" w:fill="4F81BD"/>
            <w:tcW w:w="5496" w:type="dxa"/>
            <w:vAlign w:val="top"/>
            <w:tcBorders>
              <w:bottom w:val="single" w:color="FFFFFF" w:sz="2" w:space="0"/>
            </w:tcBorders>
          </w:tcPr>
          <w:p>
            <w:pPr>
              <w:pStyle w:val="TableText"/>
              <w:ind w:left="2321"/>
              <w:spacing w:before="110" w:line="186" w:lineRule="auto"/>
              <w:rPr/>
            </w:pPr>
            <w:r>
              <w:rPr>
                <w:b/>
                <w:bCs/>
                <w:color w:val="FFFFFF"/>
                <w:spacing w:val="8"/>
              </w:rPr>
              <w:t>违规行为</w:t>
            </w:r>
          </w:p>
        </w:tc>
      </w:tr>
      <w:tr>
        <w:trPr>
          <w:trHeight w:val="439" w:hRule="atLeast"/>
        </w:trPr>
        <w:tc>
          <w:tcPr>
            <w:shd w:val="clear" w:fill="B8CCE4"/>
            <w:tcW w:w="1214" w:type="dxa"/>
            <w:vAlign w:val="top"/>
            <w:tcBorders>
              <w:top w:val="single" w:color="FFFFFF" w:sz="2" w:space="0"/>
            </w:tcBorders>
          </w:tcPr>
          <w:p>
            <w:pPr>
              <w:pStyle w:val="TableText"/>
              <w:ind w:left="240"/>
              <w:spacing w:before="137" w:line="178" w:lineRule="auto"/>
              <w:rPr/>
            </w:pPr>
            <w:r>
              <w:rPr>
                <w:spacing w:val="3"/>
              </w:rPr>
              <w:t>600372</w:t>
            </w:r>
          </w:p>
        </w:tc>
        <w:tc>
          <w:tcPr>
            <w:shd w:val="clear" w:fill="B8CCE4"/>
            <w:tcW w:w="1343" w:type="dxa"/>
            <w:vAlign w:val="top"/>
            <w:tcBorders>
              <w:top w:val="single" w:color="FFFFFF" w:sz="2" w:space="0"/>
            </w:tcBorders>
          </w:tcPr>
          <w:p>
            <w:pPr>
              <w:pStyle w:val="TableText"/>
              <w:ind w:left="255"/>
              <w:spacing w:before="121" w:line="190" w:lineRule="auto"/>
              <w:rPr/>
            </w:pPr>
            <w:r>
              <w:rPr>
                <w:spacing w:val="5"/>
              </w:rPr>
              <w:t>中航机载</w:t>
            </w:r>
          </w:p>
        </w:tc>
        <w:tc>
          <w:tcPr>
            <w:shd w:val="clear" w:fill="B8CCE4"/>
            <w:tcW w:w="5496" w:type="dxa"/>
            <w:vAlign w:val="top"/>
            <w:tcBorders>
              <w:top w:val="single" w:color="FFFFFF" w:sz="2" w:space="0"/>
            </w:tcBorders>
          </w:tcPr>
          <w:p>
            <w:pPr>
              <w:pStyle w:val="TableText"/>
              <w:ind w:left="113"/>
              <w:spacing w:before="161" w:line="187" w:lineRule="auto"/>
              <w:rPr/>
            </w:pPr>
            <w:r>
              <w:rPr>
                <w:b/>
                <w:bCs/>
                <w:spacing w:val="6"/>
              </w:rPr>
              <w:t>内幕交易</w:t>
            </w:r>
            <w:r>
              <w:rPr>
                <w:spacing w:val="6"/>
              </w:rPr>
              <w:t>公司股票。</w:t>
            </w:r>
          </w:p>
        </w:tc>
      </w:tr>
      <w:tr>
        <w:trPr>
          <w:trHeight w:val="1805" w:hRule="atLeast"/>
        </w:trPr>
        <w:tc>
          <w:tcPr>
            <w:tcW w:w="8053" w:type="dxa"/>
            <w:vAlign w:val="top"/>
            <w:gridSpan w:val="3"/>
          </w:tcPr>
          <w:p>
            <w:pPr>
              <w:pStyle w:val="TableText"/>
              <w:ind w:left="121"/>
              <w:spacing w:before="42" w:line="237" w:lineRule="auto"/>
              <w:rPr/>
            </w:pPr>
            <w:r>
              <w:rPr>
                <w:b/>
                <w:bCs/>
                <w:spacing w:val="8"/>
              </w:rPr>
              <w:t>【行政处罚决定】</w:t>
            </w:r>
            <w:r>
              <w:rPr>
                <w:b/>
                <w:bCs/>
                <w:spacing w:val="-31"/>
              </w:rPr>
              <w:t xml:space="preserve"> </w:t>
            </w:r>
            <w:r>
              <w:rPr>
                <w:spacing w:val="8"/>
              </w:rPr>
              <w:t>中国证券监督管理委员会北京监管</w:t>
            </w:r>
            <w:r>
              <w:rPr>
                <w:spacing w:val="7"/>
              </w:rPr>
              <w:t>局决定:</w:t>
            </w:r>
          </w:p>
          <w:p>
            <w:pPr>
              <w:pStyle w:val="TableText"/>
              <w:ind w:left="104" w:right="105" w:firstLine="33"/>
              <w:spacing w:before="25" w:line="234" w:lineRule="auto"/>
              <w:rPr/>
            </w:pPr>
            <w:r>
              <w:rPr>
                <w:spacing w:val="8"/>
              </w:rPr>
              <w:t>（一） 对王某龙内幕交易中航航空电子系统股份有限公司股</w:t>
            </w:r>
            <w:r>
              <w:rPr>
                <w:spacing w:val="7"/>
              </w:rPr>
              <w:t>票的行为处以50万元的罚</w:t>
            </w:r>
            <w:r>
              <w:rPr/>
              <w:t xml:space="preserve"> </w:t>
            </w:r>
            <w:r>
              <w:rPr>
                <w:spacing w:val="5"/>
              </w:rPr>
              <w:t>款;</w:t>
            </w:r>
          </w:p>
          <w:p>
            <w:pPr>
              <w:pStyle w:val="TableText"/>
              <w:ind w:left="113" w:right="105" w:firstLine="24"/>
              <w:spacing w:before="49" w:line="234" w:lineRule="auto"/>
              <w:rPr/>
            </w:pPr>
            <w:r>
              <w:rPr>
                <w:spacing w:val="13"/>
              </w:rPr>
              <w:t>（二） 对王某龙内幕交易中航工业机电系统股份有限公司股票的行</w:t>
            </w:r>
            <w:r>
              <w:rPr>
                <w:spacing w:val="12"/>
              </w:rPr>
              <w:t>为,没收违法所得</w:t>
            </w:r>
            <w:r>
              <w:rPr/>
              <w:t xml:space="preserve"> </w:t>
            </w:r>
            <w:r>
              <w:rPr>
                <w:spacing w:val="6"/>
              </w:rPr>
              <w:t>252,314.60元,并处以150万元的罚款。</w:t>
            </w:r>
          </w:p>
        </w:tc>
      </w:tr>
    </w:tbl>
    <w:p>
      <w:pPr>
        <w:pStyle w:val="BodyText"/>
        <w:spacing w:line="293" w:lineRule="auto"/>
        <w:rPr/>
      </w:pPr>
      <w:r/>
    </w:p>
    <w:p>
      <w:pPr>
        <w:pStyle w:val="BodyText"/>
        <w:spacing w:line="293" w:lineRule="auto"/>
        <w:rPr/>
      </w:pPr>
      <w:r/>
    </w:p>
    <w:p>
      <w:pPr>
        <w:ind w:left="956"/>
        <w:spacing w:before="103" w:line="225" w:lineRule="auto"/>
        <w:outlineLvl w:val="1"/>
        <w:rPr>
          <w:rFonts w:ascii="Microsoft YaHei" w:hAnsi="Microsoft YaHei" w:eastAsia="Microsoft YaHei" w:cs="Microsoft YaHei"/>
          <w:sz w:val="24"/>
          <w:szCs w:val="24"/>
        </w:rPr>
      </w:pPr>
      <w:r>
        <w:rPr>
          <w:rFonts w:ascii="Microsoft YaHei" w:hAnsi="Microsoft YaHei" w:eastAsia="Microsoft YaHei" w:cs="Microsoft YaHei"/>
          <w:sz w:val="24"/>
          <w:szCs w:val="24"/>
          <w:b/>
          <w:bCs/>
          <w:spacing w:val="-11"/>
        </w:rPr>
        <w:t>（2） 行政监管措施</w:t>
      </w:r>
    </w:p>
    <w:p>
      <w:pPr>
        <w:spacing w:line="186" w:lineRule="exact"/>
        <w:rPr/>
      </w:pPr>
      <w:r/>
    </w:p>
    <w:tbl>
      <w:tblPr>
        <w:tblStyle w:val="TableNormal"/>
        <w:tblW w:w="8053" w:type="dxa"/>
        <w:tblInd w:w="1827" w:type="dxa"/>
        <w:tblLayout w:type="fixed"/>
        <w:tblBorders>
          <w:top w:val="single" w:color="4F81BD" w:sz="6" w:space="0"/>
          <w:left w:val="single" w:color="4F81BD" w:sz="6" w:space="0"/>
          <w:bottom w:val="single" w:color="4F81BD" w:sz="6" w:space="0"/>
          <w:right w:val="single" w:color="4F81BD" w:sz="6" w:space="0"/>
          <w:insideH w:val="single" w:color="4F81BD" w:sz="6" w:space="0"/>
          <w:insideV w:val="single" w:color="4F81BD" w:sz="6" w:space="0"/>
        </w:tblBorders>
      </w:tblPr>
      <w:tblGrid>
        <w:gridCol w:w="1214"/>
        <w:gridCol w:w="1343"/>
        <w:gridCol w:w="5496"/>
      </w:tblGrid>
      <w:tr>
        <w:trPr>
          <w:trHeight w:val="387" w:hRule="atLeast"/>
        </w:trPr>
        <w:tc>
          <w:tcPr>
            <w:shd w:val="clear" w:fill="4F81BD"/>
            <w:tcW w:w="1214" w:type="dxa"/>
            <w:vAlign w:val="top"/>
            <w:tcBorders>
              <w:bottom w:val="single" w:color="FFFFFF" w:sz="2" w:space="0"/>
            </w:tcBorders>
          </w:tcPr>
          <w:p>
            <w:pPr>
              <w:pStyle w:val="TableText"/>
              <w:ind w:left="182"/>
              <w:spacing w:before="108" w:line="188" w:lineRule="auto"/>
              <w:rPr/>
            </w:pPr>
            <w:r>
              <w:rPr>
                <w:b/>
                <w:bCs/>
                <w:color w:val="FFFFFF"/>
                <w:spacing w:val="8"/>
              </w:rPr>
              <w:t>公司代码</w:t>
            </w:r>
          </w:p>
        </w:tc>
        <w:tc>
          <w:tcPr>
            <w:shd w:val="clear" w:fill="4F81BD"/>
            <w:tcW w:w="1343" w:type="dxa"/>
            <w:vAlign w:val="top"/>
            <w:tcBorders>
              <w:bottom w:val="single" w:color="FFFFFF" w:sz="2" w:space="0"/>
            </w:tcBorders>
          </w:tcPr>
          <w:p>
            <w:pPr>
              <w:pStyle w:val="TableText"/>
              <w:ind w:left="242"/>
              <w:spacing w:before="109" w:line="187" w:lineRule="auto"/>
              <w:rPr/>
            </w:pPr>
            <w:r>
              <w:rPr>
                <w:b/>
                <w:bCs/>
                <w:color w:val="FFFFFF"/>
                <w:spacing w:val="8"/>
              </w:rPr>
              <w:t>公司简称</w:t>
            </w:r>
          </w:p>
        </w:tc>
        <w:tc>
          <w:tcPr>
            <w:shd w:val="clear" w:fill="4F81BD"/>
            <w:tcW w:w="5496" w:type="dxa"/>
            <w:vAlign w:val="top"/>
            <w:tcBorders>
              <w:bottom w:val="single" w:color="FFFFFF" w:sz="2" w:space="0"/>
            </w:tcBorders>
          </w:tcPr>
          <w:p>
            <w:pPr>
              <w:pStyle w:val="TableText"/>
              <w:ind w:left="2321"/>
              <w:spacing w:before="108" w:line="188" w:lineRule="auto"/>
              <w:rPr/>
            </w:pPr>
            <w:r>
              <w:rPr>
                <w:b/>
                <w:bCs/>
                <w:color w:val="FFFFFF"/>
                <w:spacing w:val="8"/>
              </w:rPr>
              <w:t>违规行为</w:t>
            </w:r>
          </w:p>
        </w:tc>
      </w:tr>
      <w:tr>
        <w:trPr>
          <w:trHeight w:val="1880" w:hRule="atLeast"/>
        </w:trPr>
        <w:tc>
          <w:tcPr>
            <w:shd w:val="clear" w:fill="B8CCE4"/>
            <w:tcW w:w="1214" w:type="dxa"/>
            <w:vAlign w:val="top"/>
            <w:tcBorders>
              <w:top w:val="single" w:color="FFFFFF" w:sz="2" w:space="0"/>
            </w:tcBorders>
          </w:tcPr>
          <w:p>
            <w:pPr>
              <w:spacing w:line="255" w:lineRule="auto"/>
              <w:rPr>
                <w:rFonts w:ascii="Arial"/>
                <w:sz w:val="21"/>
              </w:rPr>
            </w:pPr>
            <w:r/>
          </w:p>
          <w:p>
            <w:pPr>
              <w:spacing w:line="255" w:lineRule="auto"/>
              <w:rPr>
                <w:rFonts w:ascii="Arial"/>
                <w:sz w:val="21"/>
              </w:rPr>
            </w:pPr>
            <w:r/>
          </w:p>
          <w:p>
            <w:pPr>
              <w:spacing w:line="255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40"/>
              <w:spacing w:before="85" w:line="179" w:lineRule="auto"/>
              <w:rPr/>
            </w:pPr>
            <w:r>
              <w:rPr>
                <w:spacing w:val="3"/>
              </w:rPr>
              <w:t>601990</w:t>
            </w:r>
          </w:p>
        </w:tc>
        <w:tc>
          <w:tcPr>
            <w:shd w:val="clear" w:fill="B8CCE4"/>
            <w:tcW w:w="1343" w:type="dxa"/>
            <w:vAlign w:val="top"/>
            <w:tcBorders>
              <w:top w:val="single" w:color="FFFFFF" w:sz="2" w:space="0"/>
            </w:tcBorders>
          </w:tcPr>
          <w:p>
            <w:pPr>
              <w:spacing w:line="250" w:lineRule="auto"/>
              <w:rPr>
                <w:rFonts w:ascii="Arial"/>
                <w:sz w:val="21"/>
              </w:rPr>
            </w:pPr>
            <w:r/>
          </w:p>
          <w:p>
            <w:pPr>
              <w:spacing w:line="250" w:lineRule="auto"/>
              <w:rPr>
                <w:rFonts w:ascii="Arial"/>
                <w:sz w:val="21"/>
              </w:rPr>
            </w:pPr>
            <w:r/>
          </w:p>
          <w:p>
            <w:pPr>
              <w:spacing w:line="251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43"/>
              <w:spacing w:before="86" w:line="189" w:lineRule="auto"/>
              <w:rPr/>
            </w:pPr>
            <w:r>
              <w:rPr>
                <w:spacing w:val="8"/>
              </w:rPr>
              <w:t>南京证券</w:t>
            </w:r>
          </w:p>
        </w:tc>
        <w:tc>
          <w:tcPr>
            <w:shd w:val="clear" w:fill="B8CCE4"/>
            <w:tcW w:w="5496" w:type="dxa"/>
            <w:vAlign w:val="top"/>
            <w:tcBorders>
              <w:top w:val="single" w:color="FFFFFF" w:sz="2" w:space="0"/>
            </w:tcBorders>
          </w:tcPr>
          <w:p>
            <w:pPr>
              <w:pStyle w:val="TableText"/>
              <w:ind w:left="99" w:right="134" w:firstLine="3"/>
              <w:spacing w:before="154"/>
              <w:rPr/>
            </w:pPr>
            <w:r>
              <w:rPr>
                <w:spacing w:val="9"/>
              </w:rPr>
              <w:t>南京证券股份有限公司宁波锦寓路证券营业部存在以下问</w:t>
            </w:r>
            <w:r>
              <w:rPr>
                <w:spacing w:val="17"/>
                <w:w w:val="101"/>
              </w:rPr>
              <w:t xml:space="preserve"> </w:t>
            </w:r>
            <w:r>
              <w:rPr>
                <w:spacing w:val="5"/>
              </w:rPr>
              <w:t>题： 一是在为客户提供服务时未能勤勉尽责、</w:t>
            </w:r>
            <w:r>
              <w:rPr>
                <w:spacing w:val="-37"/>
              </w:rPr>
              <w:t xml:space="preserve"> </w:t>
            </w:r>
            <w:r>
              <w:rPr>
                <w:spacing w:val="5"/>
              </w:rPr>
              <w:t>审慎履职</w:t>
            </w:r>
            <w:r>
              <w:rPr>
                <w:spacing w:val="-25"/>
              </w:rPr>
              <w:t xml:space="preserve"> </w:t>
            </w:r>
            <w:r>
              <w:rPr>
                <w:spacing w:val="5"/>
              </w:rPr>
              <w:t>，</w:t>
            </w:r>
            <w:r>
              <w:rPr/>
              <w:t xml:space="preserve"> </w:t>
            </w:r>
            <w:r>
              <w:rPr>
                <w:spacing w:val="7"/>
              </w:rPr>
              <w:t>全面了解客户情况， 未有效核实客户的财产与收入状况、</w:t>
            </w:r>
            <w:r>
              <w:rPr>
                <w:spacing w:val="4"/>
              </w:rPr>
              <w:t xml:space="preserve"> </w:t>
            </w:r>
            <w:r>
              <w:rPr>
                <w:spacing w:val="10"/>
              </w:rPr>
              <w:t>风险偏好及可承受的损失等。二是营业部营销</w:t>
            </w:r>
            <w:r>
              <w:rPr>
                <w:spacing w:val="9"/>
              </w:rPr>
              <w:t>人员办理客</w:t>
            </w:r>
            <w:r>
              <w:rPr/>
              <w:t xml:space="preserve"> </w:t>
            </w:r>
            <w:r>
              <w:rPr>
                <w:spacing w:val="6"/>
              </w:rPr>
              <w:t>户融资融券业务佣金设置， 不相容岗位未有效分离。</w:t>
            </w:r>
          </w:p>
        </w:tc>
      </w:tr>
      <w:tr>
        <w:trPr>
          <w:trHeight w:val="724" w:hRule="atLeast"/>
        </w:trPr>
        <w:tc>
          <w:tcPr>
            <w:tcW w:w="8053" w:type="dxa"/>
            <w:vAlign w:val="top"/>
            <w:gridSpan w:val="3"/>
          </w:tcPr>
          <w:p>
            <w:pPr>
              <w:pStyle w:val="TableText"/>
              <w:ind w:left="107" w:right="105" w:firstLine="14"/>
              <w:spacing w:before="41" w:line="235" w:lineRule="auto"/>
              <w:rPr/>
            </w:pPr>
            <w:r>
              <w:rPr>
                <w:b/>
                <w:bCs/>
                <w:spacing w:val="10"/>
              </w:rPr>
              <w:t>【行政监管措施】</w:t>
            </w:r>
            <w:r>
              <w:rPr>
                <w:b/>
                <w:bCs/>
                <w:spacing w:val="-20"/>
              </w:rPr>
              <w:t xml:space="preserve"> </w:t>
            </w:r>
            <w:r>
              <w:rPr>
                <w:spacing w:val="10"/>
              </w:rPr>
              <w:t>中国证券监督管理委员会宁波监管局决定对南京证券股份有限公司</w:t>
            </w:r>
            <w:r>
              <w:rPr/>
              <w:t xml:space="preserve"> </w:t>
            </w:r>
            <w:r>
              <w:rPr>
                <w:spacing w:val="9"/>
              </w:rPr>
              <w:t>宁波锦寓路证券营业部采取出具警示函的行政监管措施。</w:t>
            </w:r>
          </w:p>
        </w:tc>
      </w:tr>
      <w:tr>
        <w:trPr>
          <w:trHeight w:val="1443" w:hRule="atLeast"/>
        </w:trPr>
        <w:tc>
          <w:tcPr>
            <w:shd w:val="clear" w:fill="B8CCE4"/>
            <w:tcW w:w="1214" w:type="dxa"/>
            <w:vAlign w:val="top"/>
          </w:tcPr>
          <w:p>
            <w:pPr>
              <w:spacing w:line="275" w:lineRule="auto"/>
              <w:rPr>
                <w:rFonts w:ascii="Arial"/>
                <w:sz w:val="21"/>
              </w:rPr>
            </w:pPr>
            <w:r/>
          </w:p>
          <w:p>
            <w:pPr>
              <w:spacing w:line="275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40"/>
              <w:spacing w:before="86" w:line="178" w:lineRule="auto"/>
              <w:rPr/>
            </w:pPr>
            <w:r>
              <w:rPr>
                <w:spacing w:val="3"/>
              </w:rPr>
              <w:t>600958</w:t>
            </w:r>
          </w:p>
        </w:tc>
        <w:tc>
          <w:tcPr>
            <w:shd w:val="clear" w:fill="B8CCE4"/>
            <w:tcW w:w="1343" w:type="dxa"/>
            <w:vAlign w:val="top"/>
          </w:tcPr>
          <w:p>
            <w:pPr>
              <w:spacing w:line="268" w:lineRule="auto"/>
              <w:rPr>
                <w:rFonts w:ascii="Arial"/>
                <w:sz w:val="21"/>
              </w:rPr>
            </w:pPr>
            <w:r/>
          </w:p>
          <w:p>
            <w:pPr>
              <w:spacing w:line="268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40"/>
              <w:spacing w:before="85" w:line="189" w:lineRule="auto"/>
              <w:rPr/>
            </w:pPr>
            <w:r>
              <w:rPr>
                <w:spacing w:val="8"/>
              </w:rPr>
              <w:t>东方证券</w:t>
            </w:r>
          </w:p>
        </w:tc>
        <w:tc>
          <w:tcPr>
            <w:shd w:val="clear" w:fill="B8CCE4"/>
            <w:tcW w:w="5496" w:type="dxa"/>
            <w:vAlign w:val="top"/>
          </w:tcPr>
          <w:p>
            <w:pPr>
              <w:pStyle w:val="TableText"/>
              <w:ind w:left="100" w:right="103" w:firstLine="14"/>
              <w:spacing w:before="88" w:line="235" w:lineRule="auto"/>
              <w:rPr/>
            </w:pPr>
            <w:r>
              <w:rPr>
                <w:spacing w:val="10"/>
              </w:rPr>
              <w:t>中国证券监督管理委员会江西监管局发现涂某静在东方证</w:t>
            </w:r>
            <w:r>
              <w:rPr>
                <w:spacing w:val="11"/>
              </w:rPr>
              <w:t xml:space="preserve"> </w:t>
            </w:r>
            <w:r>
              <w:rPr>
                <w:spacing w:val="8"/>
              </w:rPr>
              <w:t>券南昌绿茵路证券营业部担任投资顾问期间， 向未签订证</w:t>
            </w:r>
            <w:r>
              <w:rPr>
                <w:spacing w:val="9"/>
              </w:rPr>
              <w:t xml:space="preserve"> </w:t>
            </w:r>
            <w:r>
              <w:rPr>
                <w:spacing w:val="9"/>
              </w:rPr>
              <w:t>券投资顾问协议的客户发送个股预测或建议的相关信息</w:t>
            </w:r>
            <w:r>
              <w:rPr>
                <w:spacing w:val="-8"/>
              </w:rPr>
              <w:t xml:space="preserve"> </w:t>
            </w:r>
            <w:r>
              <w:rPr>
                <w:spacing w:val="9"/>
              </w:rPr>
              <w:t>，</w:t>
            </w:r>
            <w:r>
              <w:rPr/>
              <w:t xml:space="preserve"> </w:t>
            </w:r>
            <w:r>
              <w:rPr>
                <w:spacing w:val="8"/>
              </w:rPr>
              <w:t>未向客户提示潜在风险。</w:t>
            </w:r>
          </w:p>
        </w:tc>
      </w:tr>
      <w:tr>
        <w:trPr>
          <w:trHeight w:val="724" w:hRule="atLeast"/>
        </w:trPr>
        <w:tc>
          <w:tcPr>
            <w:tcW w:w="8053" w:type="dxa"/>
            <w:vAlign w:val="top"/>
            <w:gridSpan w:val="3"/>
          </w:tcPr>
          <w:p>
            <w:pPr>
              <w:pStyle w:val="TableText"/>
              <w:ind w:left="113" w:right="167" w:firstLine="8"/>
              <w:spacing w:before="44" w:line="234" w:lineRule="auto"/>
              <w:rPr/>
            </w:pPr>
            <w:r>
              <w:rPr>
                <w:b/>
                <w:bCs/>
                <w:spacing w:val="9"/>
              </w:rPr>
              <w:t>【行政监管措施】</w:t>
            </w:r>
            <w:r>
              <w:rPr>
                <w:b/>
                <w:bCs/>
                <w:spacing w:val="-31"/>
              </w:rPr>
              <w:t xml:space="preserve"> </w:t>
            </w:r>
            <w:r>
              <w:rPr>
                <w:spacing w:val="9"/>
              </w:rPr>
              <w:t>中国证券监督管理委员会江西监管</w:t>
            </w:r>
            <w:r>
              <w:rPr>
                <w:spacing w:val="8"/>
              </w:rPr>
              <w:t>局决定对涂某静采取出具警示函</w:t>
            </w:r>
            <w:r>
              <w:rPr/>
              <w:t xml:space="preserve"> </w:t>
            </w:r>
            <w:r>
              <w:rPr>
                <w:spacing w:val="6"/>
              </w:rPr>
              <w:t>的行政监管措施， 并记入证券期货市场诚信档</w:t>
            </w:r>
            <w:r>
              <w:rPr>
                <w:spacing w:val="5"/>
              </w:rPr>
              <w:t>案。</w:t>
            </w:r>
          </w:p>
        </w:tc>
      </w:tr>
      <w:tr>
        <w:trPr>
          <w:trHeight w:val="725" w:hRule="atLeast"/>
        </w:trPr>
        <w:tc>
          <w:tcPr>
            <w:shd w:val="clear" w:fill="B8CCE4"/>
            <w:tcW w:w="1214" w:type="dxa"/>
            <w:vAlign w:val="top"/>
          </w:tcPr>
          <w:p>
            <w:pPr>
              <w:pStyle w:val="TableText"/>
              <w:ind w:left="240"/>
              <w:spacing w:before="282" w:line="179" w:lineRule="auto"/>
              <w:rPr/>
            </w:pPr>
            <w:r>
              <w:rPr>
                <w:spacing w:val="3"/>
              </w:rPr>
              <w:t>601988</w:t>
            </w:r>
          </w:p>
        </w:tc>
        <w:tc>
          <w:tcPr>
            <w:shd w:val="clear" w:fill="B8CCE4"/>
            <w:tcW w:w="1343" w:type="dxa"/>
            <w:vAlign w:val="top"/>
          </w:tcPr>
          <w:p>
            <w:pPr>
              <w:pStyle w:val="TableText"/>
              <w:ind w:left="255"/>
              <w:spacing w:before="268" w:line="189" w:lineRule="auto"/>
              <w:rPr/>
            </w:pPr>
            <w:r>
              <w:rPr>
                <w:spacing w:val="5"/>
              </w:rPr>
              <w:t>中国银行</w:t>
            </w:r>
          </w:p>
        </w:tc>
        <w:tc>
          <w:tcPr>
            <w:shd w:val="clear" w:fill="B8CCE4"/>
            <w:tcW w:w="5496" w:type="dxa"/>
            <w:vAlign w:val="top"/>
          </w:tcPr>
          <w:p>
            <w:pPr>
              <w:pStyle w:val="TableText"/>
              <w:ind w:left="100" w:right="103" w:firstLine="14"/>
              <w:spacing w:before="91" w:line="218" w:lineRule="auto"/>
              <w:rPr/>
            </w:pPr>
            <w:r>
              <w:rPr>
                <w:spacing w:val="10"/>
              </w:rPr>
              <w:t>中国银行股份有限公司青田县支行任职员工在任职期间未</w:t>
            </w:r>
            <w:r>
              <w:rPr>
                <w:spacing w:val="11"/>
              </w:rPr>
              <w:t xml:space="preserve"> </w:t>
            </w:r>
            <w:r>
              <w:rPr>
                <w:spacing w:val="9"/>
              </w:rPr>
              <w:t>取得基金从业资格从事基金销售业务。</w:t>
            </w:r>
          </w:p>
        </w:tc>
      </w:tr>
      <w:tr>
        <w:trPr>
          <w:trHeight w:val="724" w:hRule="atLeast"/>
        </w:trPr>
        <w:tc>
          <w:tcPr>
            <w:tcW w:w="8053" w:type="dxa"/>
            <w:vAlign w:val="top"/>
            <w:gridSpan w:val="3"/>
          </w:tcPr>
          <w:p>
            <w:pPr>
              <w:pStyle w:val="TableText"/>
              <w:ind w:left="113" w:right="167" w:firstLine="8"/>
              <w:spacing w:before="47" w:line="233" w:lineRule="auto"/>
              <w:rPr/>
            </w:pPr>
            <w:r>
              <w:rPr>
                <w:b/>
                <w:bCs/>
                <w:spacing w:val="9"/>
              </w:rPr>
              <w:t>【行政监管措施】</w:t>
            </w:r>
            <w:r>
              <w:rPr>
                <w:b/>
                <w:bCs/>
                <w:spacing w:val="-31"/>
              </w:rPr>
              <w:t xml:space="preserve"> </w:t>
            </w:r>
            <w:r>
              <w:rPr>
                <w:spacing w:val="9"/>
              </w:rPr>
              <w:t>中国证券监督管理委员会浙江监管</w:t>
            </w:r>
            <w:r>
              <w:rPr>
                <w:spacing w:val="8"/>
              </w:rPr>
              <w:t>局决定对陈某清采取出具警示函</w:t>
            </w:r>
            <w:r>
              <w:rPr/>
              <w:t xml:space="preserve"> </w:t>
            </w:r>
            <w:r>
              <w:rPr>
                <w:spacing w:val="6"/>
              </w:rPr>
              <w:t>的行政监管措施， 并记入证券期货市场诚信档</w:t>
            </w:r>
            <w:r>
              <w:rPr>
                <w:spacing w:val="5"/>
              </w:rPr>
              <w:t>案。</w:t>
            </w:r>
          </w:p>
        </w:tc>
      </w:tr>
      <w:tr>
        <w:trPr>
          <w:trHeight w:val="725" w:hRule="atLeast"/>
        </w:trPr>
        <w:tc>
          <w:tcPr>
            <w:shd w:val="clear" w:fill="B8CCE4"/>
            <w:tcW w:w="1214" w:type="dxa"/>
            <w:vAlign w:val="top"/>
          </w:tcPr>
          <w:p>
            <w:pPr>
              <w:pStyle w:val="TableText"/>
              <w:ind w:left="240"/>
              <w:spacing w:before="283" w:line="179" w:lineRule="auto"/>
              <w:rPr/>
            </w:pPr>
            <w:r>
              <w:rPr>
                <w:spacing w:val="3"/>
              </w:rPr>
              <w:t>601988</w:t>
            </w:r>
          </w:p>
        </w:tc>
        <w:tc>
          <w:tcPr>
            <w:shd w:val="clear" w:fill="B8CCE4"/>
            <w:tcW w:w="1343" w:type="dxa"/>
            <w:vAlign w:val="top"/>
          </w:tcPr>
          <w:p>
            <w:pPr>
              <w:pStyle w:val="TableText"/>
              <w:ind w:left="255"/>
              <w:spacing w:before="270" w:line="189" w:lineRule="auto"/>
              <w:rPr/>
            </w:pPr>
            <w:r>
              <w:rPr>
                <w:spacing w:val="5"/>
              </w:rPr>
              <w:t>中国银行</w:t>
            </w:r>
          </w:p>
        </w:tc>
        <w:tc>
          <w:tcPr>
            <w:shd w:val="clear" w:fill="B8CCE4"/>
            <w:tcW w:w="5496" w:type="dxa"/>
            <w:vAlign w:val="top"/>
          </w:tcPr>
          <w:p>
            <w:pPr>
              <w:pStyle w:val="TableText"/>
              <w:ind w:left="100" w:right="103" w:firstLine="14"/>
              <w:spacing w:before="91" w:line="218" w:lineRule="auto"/>
              <w:rPr/>
            </w:pPr>
            <w:r>
              <w:rPr>
                <w:spacing w:val="10"/>
              </w:rPr>
              <w:t>中国银行股份有限公司青田县支行任职员工在任职期间未</w:t>
            </w:r>
            <w:r>
              <w:rPr>
                <w:spacing w:val="11"/>
              </w:rPr>
              <w:t xml:space="preserve"> </w:t>
            </w:r>
            <w:r>
              <w:rPr>
                <w:spacing w:val="9"/>
              </w:rPr>
              <w:t>取得基金从业资格从事基金销售业务。</w:t>
            </w:r>
          </w:p>
        </w:tc>
      </w:tr>
      <w:tr>
        <w:trPr>
          <w:trHeight w:val="724" w:hRule="atLeast"/>
        </w:trPr>
        <w:tc>
          <w:tcPr>
            <w:tcW w:w="8053" w:type="dxa"/>
            <w:vAlign w:val="top"/>
            <w:gridSpan w:val="3"/>
          </w:tcPr>
          <w:p>
            <w:pPr>
              <w:pStyle w:val="TableText"/>
              <w:ind w:left="113" w:right="167" w:firstLine="8"/>
              <w:spacing w:before="47" w:line="233" w:lineRule="auto"/>
              <w:rPr/>
            </w:pPr>
            <w:r>
              <w:rPr>
                <w:b/>
                <w:bCs/>
                <w:spacing w:val="9"/>
              </w:rPr>
              <w:t>【行政监管措施】</w:t>
            </w:r>
            <w:r>
              <w:rPr>
                <w:b/>
                <w:bCs/>
                <w:spacing w:val="-31"/>
              </w:rPr>
              <w:t xml:space="preserve"> </w:t>
            </w:r>
            <w:r>
              <w:rPr>
                <w:spacing w:val="9"/>
              </w:rPr>
              <w:t>中国证券监督管理委员会浙江监管</w:t>
            </w:r>
            <w:r>
              <w:rPr>
                <w:spacing w:val="8"/>
              </w:rPr>
              <w:t>局决定对李某玲采取出具警示函</w:t>
            </w:r>
            <w:r>
              <w:rPr/>
              <w:t xml:space="preserve"> </w:t>
            </w:r>
            <w:r>
              <w:rPr>
                <w:spacing w:val="6"/>
              </w:rPr>
              <w:t>的行政监管措施， 并记入证券期货市场诚信档</w:t>
            </w:r>
            <w:r>
              <w:rPr>
                <w:spacing w:val="5"/>
              </w:rPr>
              <w:t>案。</w:t>
            </w:r>
          </w:p>
        </w:tc>
      </w:tr>
      <w:tr>
        <w:trPr>
          <w:trHeight w:val="1451" w:hRule="atLeast"/>
        </w:trPr>
        <w:tc>
          <w:tcPr>
            <w:shd w:val="clear" w:fill="B8CCE4"/>
            <w:tcW w:w="1214" w:type="dxa"/>
            <w:vAlign w:val="top"/>
          </w:tcPr>
          <w:p>
            <w:pPr>
              <w:spacing w:line="278" w:lineRule="auto"/>
              <w:rPr>
                <w:rFonts w:ascii="Arial"/>
                <w:sz w:val="21"/>
              </w:rPr>
            </w:pPr>
            <w:r/>
          </w:p>
          <w:p>
            <w:pPr>
              <w:spacing w:line="278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37"/>
              <w:spacing w:before="86" w:line="179" w:lineRule="auto"/>
              <w:rPr/>
            </w:pPr>
            <w:r>
              <w:rPr>
                <w:spacing w:val="3"/>
              </w:rPr>
              <w:t>002961</w:t>
            </w:r>
          </w:p>
        </w:tc>
        <w:tc>
          <w:tcPr>
            <w:shd w:val="clear" w:fill="B8CCE4"/>
            <w:tcW w:w="1343" w:type="dxa"/>
            <w:vAlign w:val="top"/>
          </w:tcPr>
          <w:p>
            <w:pPr>
              <w:spacing w:line="270" w:lineRule="auto"/>
              <w:rPr>
                <w:rFonts w:ascii="Arial"/>
                <w:sz w:val="21"/>
              </w:rPr>
            </w:pPr>
            <w:r/>
          </w:p>
          <w:p>
            <w:pPr>
              <w:spacing w:line="271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41"/>
              <w:spacing w:before="86" w:line="190" w:lineRule="auto"/>
              <w:rPr/>
            </w:pPr>
            <w:r>
              <w:rPr>
                <w:spacing w:val="8"/>
              </w:rPr>
              <w:t>瑞达期货</w:t>
            </w:r>
          </w:p>
        </w:tc>
        <w:tc>
          <w:tcPr>
            <w:shd w:val="clear" w:fill="B8CCE4"/>
            <w:tcW w:w="5496" w:type="dxa"/>
            <w:vAlign w:val="top"/>
          </w:tcPr>
          <w:p>
            <w:pPr>
              <w:pStyle w:val="TableText"/>
              <w:ind w:left="99" w:right="103" w:firstLine="1"/>
              <w:spacing w:before="91" w:line="236" w:lineRule="auto"/>
              <w:jc w:val="both"/>
              <w:rPr/>
            </w:pPr>
            <w:r>
              <w:rPr>
                <w:spacing w:val="11"/>
              </w:rPr>
              <w:t>瑞达期货股份有限公司杭州分公司在开展互联网营销业务</w:t>
            </w:r>
            <w:r>
              <w:rPr>
                <w:spacing w:val="1"/>
              </w:rPr>
              <w:t xml:space="preserve"> </w:t>
            </w:r>
            <w:r>
              <w:rPr>
                <w:spacing w:val="11"/>
              </w:rPr>
              <w:t>过程中存在不具备期货交易咨询资格的员工违规开展期货</w:t>
            </w:r>
            <w:r>
              <w:rPr>
                <w:spacing w:val="2"/>
              </w:rPr>
              <w:t xml:space="preserve"> </w:t>
            </w:r>
            <w:r>
              <w:rPr>
                <w:spacing w:val="8"/>
              </w:rPr>
              <w:t>行情分析等信息传播活动的情形， 反映出分公司风险管理</w:t>
            </w:r>
            <w:r>
              <w:rPr>
                <w:spacing w:val="10"/>
              </w:rPr>
              <w:t xml:space="preserve"> </w:t>
            </w:r>
            <w:r>
              <w:rPr>
                <w:spacing w:val="2"/>
              </w:rPr>
              <w:t>不到位，</w:t>
            </w:r>
            <w:r>
              <w:rPr>
                <w:spacing w:val="30"/>
              </w:rPr>
              <w:t xml:space="preserve"> </w:t>
            </w:r>
            <w:r>
              <w:rPr>
                <w:spacing w:val="2"/>
              </w:rPr>
              <w:t>内部控制存在缺陷。</w:t>
            </w:r>
          </w:p>
        </w:tc>
      </w:tr>
    </w:tbl>
    <w:p>
      <w:pPr>
        <w:pStyle w:val="BodyText"/>
        <w:rPr/>
      </w:pPr>
      <w:r/>
    </w:p>
    <w:p>
      <w:pPr>
        <w:sectPr>
          <w:pgSz w:w="11910" w:h="16840"/>
          <w:pgMar w:top="400" w:right="1786" w:bottom="0" w:left="0" w:header="0" w:footer="0" w:gutter="0"/>
        </w:sectPr>
        <w:rPr/>
      </w:pPr>
    </w:p>
    <w:tbl>
      <w:tblPr>
        <w:tblStyle w:val="TableNormal"/>
        <w:tblW w:w="8053" w:type="dxa"/>
        <w:tblInd w:w="41" w:type="dxa"/>
        <w:tblLayout w:type="fixed"/>
        <w:tblBorders>
          <w:top w:val="single" w:color="4F81BD" w:sz="6" w:space="0"/>
          <w:left w:val="single" w:color="4F81BD" w:sz="6" w:space="0"/>
          <w:bottom w:val="single" w:color="4F81BD" w:sz="6" w:space="0"/>
          <w:right w:val="single" w:color="4F81BD" w:sz="6" w:space="0"/>
          <w:insideH w:val="single" w:color="4F81BD" w:sz="6" w:space="0"/>
          <w:insideV w:val="single" w:color="4F81BD" w:sz="6" w:space="0"/>
        </w:tblBorders>
      </w:tblPr>
      <w:tblGrid>
        <w:gridCol w:w="1214"/>
        <w:gridCol w:w="1343"/>
        <w:gridCol w:w="5496"/>
      </w:tblGrid>
      <w:tr>
        <w:trPr>
          <w:trHeight w:val="742" w:hRule="atLeast"/>
        </w:trPr>
        <w:tc>
          <w:tcPr>
            <w:tcW w:w="8053" w:type="dxa"/>
            <w:vAlign w:val="top"/>
            <w:gridSpan w:val="3"/>
            <w:tcBorders>
              <w:top w:val="single" w:color="FFFFFF" w:sz="2" w:space="0"/>
            </w:tcBorders>
          </w:tcPr>
          <w:p>
            <w:pPr>
              <w:pStyle w:val="TableText"/>
              <w:ind w:left="105" w:right="167" w:firstLine="15"/>
              <w:spacing w:before="59" w:line="235" w:lineRule="auto"/>
              <w:rPr/>
            </w:pPr>
            <w:r>
              <w:rPr>
                <w:b/>
                <w:bCs/>
                <w:spacing w:val="9"/>
              </w:rPr>
              <w:t>【行政监管措施</w:t>
            </w:r>
            <w:r>
              <w:rPr>
                <w:spacing w:val="9"/>
              </w:rPr>
              <w:t>】</w:t>
            </w:r>
            <w:r>
              <w:rPr>
                <w:spacing w:val="-31"/>
              </w:rPr>
              <w:t xml:space="preserve"> </w:t>
            </w:r>
            <w:r>
              <w:rPr>
                <w:spacing w:val="9"/>
              </w:rPr>
              <w:t>中国证券监督管理委员会浙江监管</w:t>
            </w:r>
            <w:r>
              <w:rPr>
                <w:spacing w:val="8"/>
              </w:rPr>
              <w:t>局决定对周某荣采取责令改正的</w:t>
            </w:r>
            <w:r>
              <w:rPr/>
              <w:t xml:space="preserve"> </w:t>
            </w:r>
            <w:r>
              <w:rPr>
                <w:spacing w:val="6"/>
              </w:rPr>
              <w:t>监督管理措施， 并记入证券期货市场诚信档案。</w:t>
            </w:r>
          </w:p>
        </w:tc>
      </w:tr>
      <w:tr>
        <w:trPr>
          <w:trHeight w:val="1441" w:hRule="atLeast"/>
        </w:trPr>
        <w:tc>
          <w:tcPr>
            <w:shd w:val="clear" w:fill="B8CCE4"/>
            <w:tcW w:w="1214" w:type="dxa"/>
            <w:vAlign w:val="top"/>
          </w:tcPr>
          <w:p>
            <w:pPr>
              <w:spacing w:line="273" w:lineRule="auto"/>
              <w:rPr>
                <w:rFonts w:ascii="Arial"/>
                <w:sz w:val="21"/>
              </w:rPr>
            </w:pPr>
            <w:r/>
          </w:p>
          <w:p>
            <w:pPr>
              <w:spacing w:line="273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37"/>
              <w:spacing w:before="86" w:line="179" w:lineRule="auto"/>
              <w:rPr/>
            </w:pPr>
            <w:r>
              <w:rPr>
                <w:spacing w:val="3"/>
              </w:rPr>
              <w:t>002961</w:t>
            </w:r>
          </w:p>
        </w:tc>
        <w:tc>
          <w:tcPr>
            <w:shd w:val="clear" w:fill="B8CCE4"/>
            <w:tcW w:w="1343" w:type="dxa"/>
            <w:vAlign w:val="top"/>
          </w:tcPr>
          <w:p>
            <w:pPr>
              <w:spacing w:line="266" w:lineRule="auto"/>
              <w:rPr>
                <w:rFonts w:ascii="Arial"/>
                <w:sz w:val="21"/>
              </w:rPr>
            </w:pPr>
            <w:r/>
          </w:p>
          <w:p>
            <w:pPr>
              <w:spacing w:line="266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41"/>
              <w:spacing w:before="85" w:line="190" w:lineRule="auto"/>
              <w:rPr/>
            </w:pPr>
            <w:r>
              <w:rPr>
                <w:spacing w:val="8"/>
              </w:rPr>
              <w:t>瑞达期货</w:t>
            </w:r>
          </w:p>
        </w:tc>
        <w:tc>
          <w:tcPr>
            <w:shd w:val="clear" w:fill="B8CCE4"/>
            <w:tcW w:w="5496" w:type="dxa"/>
            <w:vAlign w:val="top"/>
          </w:tcPr>
          <w:p>
            <w:pPr>
              <w:pStyle w:val="TableText"/>
              <w:ind w:left="100" w:right="103"/>
              <w:spacing w:before="81" w:line="236" w:lineRule="auto"/>
              <w:jc w:val="both"/>
              <w:rPr/>
            </w:pPr>
            <w:r>
              <w:rPr>
                <w:spacing w:val="11"/>
              </w:rPr>
              <w:t>瑞达期货股份有限公司杭州分公司在开展互联网营销业务</w:t>
            </w:r>
            <w:r>
              <w:rPr>
                <w:spacing w:val="1"/>
              </w:rPr>
              <w:t xml:space="preserve"> </w:t>
            </w:r>
            <w:r>
              <w:rPr>
                <w:spacing w:val="11"/>
              </w:rPr>
              <w:t>过程中存在不具备期货交易咨询资格的员工违规开展期货</w:t>
            </w:r>
            <w:r>
              <w:rPr/>
              <w:t xml:space="preserve"> </w:t>
            </w:r>
            <w:r>
              <w:rPr>
                <w:spacing w:val="8"/>
              </w:rPr>
              <w:t>行情分析等信息传播活动的情形， 反映出瑞达期货股份有 </w:t>
            </w:r>
            <w:r>
              <w:rPr>
                <w:spacing w:val="6"/>
              </w:rPr>
              <w:t>限公司杭州分公司风险管理不到位，</w:t>
            </w:r>
            <w:r>
              <w:rPr>
                <w:spacing w:val="24"/>
              </w:rPr>
              <w:t xml:space="preserve"> </w:t>
            </w:r>
            <w:r>
              <w:rPr>
                <w:spacing w:val="6"/>
              </w:rPr>
              <w:t>内部控制存在缺陷。</w:t>
            </w:r>
          </w:p>
        </w:tc>
      </w:tr>
      <w:tr>
        <w:trPr>
          <w:trHeight w:val="724" w:hRule="atLeast"/>
        </w:trPr>
        <w:tc>
          <w:tcPr>
            <w:tcW w:w="8053" w:type="dxa"/>
            <w:vAlign w:val="top"/>
            <w:gridSpan w:val="3"/>
          </w:tcPr>
          <w:p>
            <w:pPr>
              <w:pStyle w:val="TableText"/>
              <w:ind w:left="103" w:right="105" w:firstLine="17"/>
              <w:spacing w:before="47" w:line="233" w:lineRule="auto"/>
              <w:rPr/>
            </w:pPr>
            <w:r>
              <w:rPr>
                <w:b/>
                <w:bCs/>
                <w:spacing w:val="10"/>
              </w:rPr>
              <w:t>【行政监管措施】</w:t>
            </w:r>
            <w:r>
              <w:rPr>
                <w:b/>
                <w:bCs/>
                <w:spacing w:val="-20"/>
              </w:rPr>
              <w:t xml:space="preserve"> </w:t>
            </w:r>
            <w:r>
              <w:rPr>
                <w:spacing w:val="10"/>
              </w:rPr>
              <w:t>中国证券监督管理委员会浙江监管局决定对瑞达期货股份有限公司</w:t>
            </w:r>
            <w:r>
              <w:rPr/>
              <w:t xml:space="preserve"> </w:t>
            </w:r>
            <w:r>
              <w:rPr>
                <w:spacing w:val="7"/>
              </w:rPr>
              <w:t>杭州分公司采取责令改正的监督管理措施， 并记入证券期货市场诚信档案。</w:t>
            </w:r>
          </w:p>
        </w:tc>
      </w:tr>
      <w:tr>
        <w:trPr>
          <w:trHeight w:val="1082" w:hRule="atLeast"/>
        </w:trPr>
        <w:tc>
          <w:tcPr>
            <w:shd w:val="clear" w:fill="B8CCE4"/>
            <w:tcW w:w="1214" w:type="dxa"/>
            <w:vAlign w:val="top"/>
          </w:tcPr>
          <w:p>
            <w:pPr>
              <w:spacing w:line="375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40"/>
              <w:spacing w:before="86" w:line="179" w:lineRule="auto"/>
              <w:rPr/>
            </w:pPr>
            <w:r>
              <w:rPr>
                <w:spacing w:val="3"/>
              </w:rPr>
              <w:t>601988</w:t>
            </w:r>
          </w:p>
        </w:tc>
        <w:tc>
          <w:tcPr>
            <w:shd w:val="clear" w:fill="B8CCE4"/>
            <w:tcW w:w="1343" w:type="dxa"/>
            <w:vAlign w:val="top"/>
          </w:tcPr>
          <w:p>
            <w:pPr>
              <w:spacing w:line="362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55"/>
              <w:spacing w:before="86" w:line="189" w:lineRule="auto"/>
              <w:rPr/>
            </w:pPr>
            <w:r>
              <w:rPr>
                <w:spacing w:val="5"/>
              </w:rPr>
              <w:t>中国银行</w:t>
            </w:r>
          </w:p>
        </w:tc>
        <w:tc>
          <w:tcPr>
            <w:shd w:val="clear" w:fill="B8CCE4"/>
            <w:tcW w:w="5496" w:type="dxa"/>
            <w:vAlign w:val="top"/>
          </w:tcPr>
          <w:p>
            <w:pPr>
              <w:pStyle w:val="TableText"/>
              <w:ind w:left="100" w:right="102" w:firstLine="14"/>
              <w:spacing w:before="89" w:line="229" w:lineRule="auto"/>
              <w:jc w:val="both"/>
              <w:rPr/>
            </w:pPr>
            <w:r>
              <w:rPr>
                <w:spacing w:val="10"/>
              </w:rPr>
              <w:t>中国证券监督管理委员会浙江监管局发现中国银行股份有</w:t>
            </w:r>
            <w:r>
              <w:rPr>
                <w:spacing w:val="11"/>
              </w:rPr>
              <w:t xml:space="preserve"> </w:t>
            </w:r>
            <w:r>
              <w:rPr>
                <w:spacing w:val="11"/>
              </w:rPr>
              <w:t>限公司青田县支行在2015年12月至2021年1月，</w:t>
            </w:r>
            <w:r>
              <w:rPr>
                <w:spacing w:val="10"/>
              </w:rPr>
              <w:t xml:space="preserve"> 部分未</w:t>
            </w:r>
            <w:r>
              <w:rPr/>
              <w:t xml:space="preserve"> </w:t>
            </w:r>
            <w:r>
              <w:rPr>
                <w:spacing w:val="9"/>
              </w:rPr>
              <w:t>取得基金从业资格的人员从事基金销售业务。</w:t>
            </w:r>
          </w:p>
        </w:tc>
      </w:tr>
      <w:tr>
        <w:trPr>
          <w:trHeight w:val="733" w:hRule="atLeast"/>
        </w:trPr>
        <w:tc>
          <w:tcPr>
            <w:tcW w:w="8053" w:type="dxa"/>
            <w:vAlign w:val="top"/>
            <w:gridSpan w:val="3"/>
          </w:tcPr>
          <w:p>
            <w:pPr>
              <w:pStyle w:val="TableText"/>
              <w:ind w:left="107" w:right="167" w:firstLine="13"/>
              <w:spacing w:before="50" w:line="235" w:lineRule="auto"/>
              <w:rPr/>
            </w:pPr>
            <w:r>
              <w:rPr>
                <w:b/>
                <w:bCs/>
                <w:spacing w:val="9"/>
              </w:rPr>
              <w:t>【行政监管措施】</w:t>
            </w:r>
            <w:r>
              <w:rPr>
                <w:b/>
                <w:bCs/>
                <w:spacing w:val="-31"/>
              </w:rPr>
              <w:t xml:space="preserve"> </w:t>
            </w:r>
            <w:r>
              <w:rPr>
                <w:spacing w:val="9"/>
              </w:rPr>
              <w:t>中国证券监督管理委员会浙江监管</w:t>
            </w:r>
            <w:r>
              <w:rPr>
                <w:spacing w:val="8"/>
              </w:rPr>
              <w:t>局决定对中国银行股份有限公司</w:t>
            </w:r>
            <w:r>
              <w:rPr/>
              <w:t xml:space="preserve"> </w:t>
            </w:r>
            <w:r>
              <w:rPr>
                <w:spacing w:val="7"/>
              </w:rPr>
              <w:t>青田县支行采取责令改正的行政监管措施， 并记入证券期货市场诚信档案。</w:t>
            </w:r>
          </w:p>
        </w:tc>
      </w:tr>
    </w:tbl>
    <w:p>
      <w:pPr>
        <w:pStyle w:val="BodyText"/>
        <w:rPr/>
      </w:pPr>
      <w:r/>
    </w:p>
    <w:p>
      <w:pPr>
        <w:sectPr>
          <w:pgSz w:w="11910" w:h="16840"/>
          <w:pgMar w:top="400" w:right="1786" w:bottom="0" w:left="1786" w:header="0" w:footer="0" w:gutter="0"/>
        </w:sectPr>
        <w:rPr/>
      </w:pPr>
    </w:p>
    <w:p>
      <w:pPr>
        <w:pStyle w:val="BodyText"/>
        <w:spacing w:line="375" w:lineRule="auto"/>
        <w:rPr/>
      </w:pPr>
      <w:r/>
    </w:p>
    <w:p>
      <w:pPr>
        <w:spacing w:line="924" w:lineRule="exact"/>
        <w:rPr/>
      </w:pPr>
      <w:r>
        <w:rPr>
          <w:position w:val="-18"/>
        </w:rPr>
        <w:pict>
          <v:group id="_x0000_s24" style="mso-position-vertical-relative:line;mso-position-horizontal-relative:char;width:134.8pt;height:46.25pt;" filled="false" stroked="false" coordsize="2696,925" coordorigin="0,0">
            <v:shape id="_x0000_s26" style="position:absolute;left:0;top:0;width:2696;height:925;" filled="false" stroked="false" type="#_x0000_t75">
              <v:imagedata o:title="" r:id="rId13"/>
            </v:shape>
            <v:shape id="_x0000_s28" style="position:absolute;left:-20;top:-20;width:2736;height:965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ind w:left="373"/>
                      <w:spacing w:before="243" w:line="183" w:lineRule="auto"/>
                      <w:rPr>
                        <w:rFonts w:ascii="Microsoft YaHei" w:hAnsi="Microsoft YaHei" w:eastAsia="Microsoft YaHei" w:cs="Microsoft YaHei"/>
                        <w:sz w:val="28"/>
                        <w:szCs w:val="28"/>
                      </w:rPr>
                    </w:pPr>
                    <w:r>
                      <w:rPr>
                        <w:rFonts w:ascii="Microsoft YaHei" w:hAnsi="Microsoft YaHei" w:eastAsia="Microsoft YaHei" w:cs="Microsoft YaHei"/>
                        <w:sz w:val="28"/>
                        <w:szCs w:val="28"/>
                        <w:b/>
                        <w:bCs/>
                        <w:color w:val="FFFFFF"/>
                        <w:spacing w:val="-1"/>
                      </w:rPr>
                      <w:t>上交所监管动态</w:t>
                    </w:r>
                  </w:p>
                </w:txbxContent>
              </v:textbox>
            </v:shape>
          </v:group>
        </w:pict>
      </w:r>
    </w:p>
    <w:p>
      <w:pPr>
        <w:ind w:left="902"/>
        <w:spacing w:before="149" w:line="183" w:lineRule="auto"/>
        <w:outlineLvl w:val="0"/>
        <w:rPr>
          <w:rFonts w:ascii="Microsoft YaHei" w:hAnsi="Microsoft YaHei" w:eastAsia="Microsoft YaHei" w:cs="Microsoft YaHei"/>
          <w:sz w:val="24"/>
          <w:szCs w:val="24"/>
        </w:rPr>
      </w:pPr>
      <w:r>
        <w:rPr>
          <w:rFonts w:ascii="Microsoft YaHei" w:hAnsi="Microsoft YaHei" w:eastAsia="Microsoft YaHei" w:cs="Microsoft YaHei"/>
          <w:sz w:val="24"/>
          <w:szCs w:val="24"/>
          <w:b/>
          <w:bCs/>
          <w:spacing w:val="-5"/>
        </w:rPr>
        <w:t>1、上市公司监管动态</w:t>
      </w:r>
    </w:p>
    <w:p>
      <w:pPr>
        <w:ind w:left="444" w:firstLine="488"/>
        <w:spacing w:before="173" w:line="359" w:lineRule="auto"/>
        <w:jc w:val="both"/>
        <w:rPr>
          <w:rFonts w:ascii="Microsoft YaHei" w:hAnsi="Microsoft YaHei" w:eastAsia="Microsoft YaHei" w:cs="Microsoft YaHei"/>
          <w:sz w:val="24"/>
          <w:szCs w:val="24"/>
        </w:rPr>
      </w:pPr>
      <w:r>
        <w:rPr>
          <w:rFonts w:ascii="Microsoft YaHei" w:hAnsi="Microsoft YaHei" w:eastAsia="Microsoft YaHei" w:cs="Microsoft YaHei"/>
          <w:sz w:val="24"/>
          <w:szCs w:val="24"/>
          <w:spacing w:val="-2"/>
        </w:rPr>
        <w:t>2024年7月15日-7月21日， 上交所公司监管部门作出</w:t>
      </w:r>
      <w:r>
        <w:rPr>
          <w:rFonts w:ascii="Microsoft YaHei" w:hAnsi="Microsoft YaHei" w:eastAsia="Microsoft YaHei" w:cs="Microsoft YaHei"/>
          <w:sz w:val="24"/>
          <w:szCs w:val="24"/>
          <w:spacing w:val="-3"/>
        </w:rPr>
        <w:t>4份监管警示函。</w:t>
      </w:r>
      <w:r>
        <w:rPr>
          <w:rFonts w:ascii="Microsoft YaHei" w:hAnsi="Microsoft YaHei" w:eastAsia="Microsoft YaHei" w:cs="Microsoft YaHei"/>
          <w:sz w:val="24"/>
          <w:szCs w:val="24"/>
          <w:spacing w:val="-48"/>
        </w:rPr>
        <w:t xml:space="preserve"> </w:t>
      </w:r>
      <w:r>
        <w:rPr>
          <w:rFonts w:ascii="Microsoft YaHei" w:hAnsi="Microsoft YaHei" w:eastAsia="Microsoft YaHei" w:cs="Microsoft YaHei"/>
          <w:sz w:val="24"/>
          <w:szCs w:val="24"/>
          <w:spacing w:val="-3"/>
        </w:rPr>
        <w:t>同时， 加大信息披露和股价</w:t>
      </w:r>
      <w:r>
        <w:rPr>
          <w:rFonts w:ascii="Microsoft YaHei" w:hAnsi="Microsoft YaHei" w:eastAsia="Microsoft YaHei" w:cs="Microsoft YaHei"/>
          <w:sz w:val="24"/>
          <w:szCs w:val="24"/>
        </w:rPr>
        <w:t xml:space="preserve"> </w:t>
      </w:r>
      <w:r>
        <w:rPr>
          <w:rFonts w:ascii="Microsoft YaHei" w:hAnsi="Microsoft YaHei" w:eastAsia="Microsoft YaHei" w:cs="Microsoft YaHei"/>
          <w:sz w:val="24"/>
          <w:szCs w:val="24"/>
          <w:spacing w:val="3"/>
        </w:rPr>
        <w:t>异常的联动监管， 针对公司披露敏感信息或股价发生明显异常</w:t>
      </w:r>
      <w:r>
        <w:rPr>
          <w:rFonts w:ascii="Microsoft YaHei" w:hAnsi="Microsoft YaHei" w:eastAsia="Microsoft YaHei" w:cs="Microsoft YaHei"/>
          <w:sz w:val="24"/>
          <w:szCs w:val="24"/>
          <w:spacing w:val="2"/>
        </w:rPr>
        <w:t>的， 提请启动内幕交易、异常交易核查</w:t>
      </w:r>
      <w:r>
        <w:rPr>
          <w:rFonts w:ascii="Microsoft YaHei" w:hAnsi="Microsoft YaHei" w:eastAsia="Microsoft YaHei" w:cs="Microsoft YaHei"/>
          <w:sz w:val="24"/>
          <w:szCs w:val="24"/>
        </w:rPr>
        <w:t xml:space="preserve"> </w:t>
      </w:r>
      <w:r>
        <w:rPr>
          <w:rFonts w:ascii="Microsoft YaHei" w:hAnsi="Microsoft YaHei" w:eastAsia="Microsoft YaHei" w:cs="Microsoft YaHei"/>
          <w:sz w:val="24"/>
          <w:szCs w:val="24"/>
          <w:spacing w:val="-2"/>
        </w:rPr>
        <w:t>13单。</w:t>
      </w:r>
    </w:p>
    <w:p>
      <w:pPr>
        <w:pStyle w:val="BodyText"/>
        <w:spacing w:line="268" w:lineRule="auto"/>
        <w:rPr/>
      </w:pPr>
      <w:r/>
    </w:p>
    <w:p>
      <w:pPr>
        <w:ind w:firstLine="1731"/>
        <w:spacing w:line="5184" w:lineRule="exact"/>
        <w:rPr/>
      </w:pPr>
      <w:r>
        <w:rPr>
          <w:position w:val="-103"/>
        </w:rPr>
        <w:drawing>
          <wp:inline distT="0" distB="0" distL="0" distR="0">
            <wp:extent cx="5495925" cy="3291840"/>
            <wp:effectExtent l="0" t="0" r="0" b="0"/>
            <wp:docPr id="20" name="IM 20"/>
            <wp:cNvGraphicFramePr/>
            <a:graphic>
              <a:graphicData uri="http://schemas.openxmlformats.org/drawingml/2006/picture">
                <pic:pic>
                  <pic:nvPicPr>
                    <pic:cNvPr id="20" name="IM 20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5495925" cy="32918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line="303" w:lineRule="auto"/>
        <w:rPr/>
      </w:pPr>
      <w:r/>
    </w:p>
    <w:p>
      <w:pPr>
        <w:pStyle w:val="BodyText"/>
        <w:spacing w:line="303" w:lineRule="auto"/>
        <w:rPr/>
      </w:pPr>
      <w:r/>
    </w:p>
    <w:p>
      <w:pPr>
        <w:ind w:left="956"/>
        <w:spacing w:before="104" w:line="225" w:lineRule="auto"/>
        <w:outlineLvl w:val="1"/>
        <w:rPr>
          <w:rFonts w:ascii="Microsoft YaHei" w:hAnsi="Microsoft YaHei" w:eastAsia="Microsoft YaHei" w:cs="Microsoft YaHei"/>
          <w:sz w:val="24"/>
          <w:szCs w:val="24"/>
        </w:rPr>
      </w:pPr>
      <w:r>
        <w:rPr>
          <w:rFonts w:ascii="Microsoft YaHei" w:hAnsi="Microsoft YaHei" w:eastAsia="Microsoft YaHei" w:cs="Microsoft YaHei"/>
          <w:sz w:val="24"/>
          <w:szCs w:val="24"/>
          <w:b/>
          <w:bCs/>
          <w:spacing w:val="-11"/>
        </w:rPr>
        <w:t>（1） 监管措施统计</w:t>
      </w:r>
    </w:p>
    <w:p>
      <w:pPr>
        <w:spacing w:line="211" w:lineRule="exact"/>
        <w:rPr/>
      </w:pPr>
      <w:r/>
    </w:p>
    <w:tbl>
      <w:tblPr>
        <w:tblStyle w:val="TableNormal"/>
        <w:tblW w:w="8819" w:type="dxa"/>
        <w:tblInd w:w="1665" w:type="dxa"/>
        <w:tblLayout w:type="fixed"/>
        <w:tblBorders>
          <w:top w:val="single" w:color="C0504D" w:sz="6" w:space="0"/>
          <w:left w:val="single" w:color="C0504D" w:sz="6" w:space="0"/>
          <w:bottom w:val="single" w:color="C0504D" w:sz="6" w:space="0"/>
          <w:right w:val="single" w:color="C0504D" w:sz="6" w:space="0"/>
          <w:insideH w:val="single" w:color="C0504D" w:sz="6" w:space="0"/>
          <w:insideV w:val="single" w:color="C0504D" w:sz="6" w:space="0"/>
        </w:tblBorders>
      </w:tblPr>
      <w:tblGrid>
        <w:gridCol w:w="1276"/>
        <w:gridCol w:w="1215"/>
        <w:gridCol w:w="1324"/>
        <w:gridCol w:w="5004"/>
      </w:tblGrid>
      <w:tr>
        <w:trPr>
          <w:trHeight w:val="378" w:hRule="atLeast"/>
        </w:trPr>
        <w:tc>
          <w:tcPr>
            <w:shd w:val="clear" w:fill="C0504D"/>
            <w:tcW w:w="1276" w:type="dxa"/>
            <w:vAlign w:val="top"/>
            <w:tcBorders>
              <w:bottom w:val="single" w:color="FFFFFF" w:sz="10" w:space="0"/>
            </w:tcBorders>
          </w:tcPr>
          <w:p>
            <w:pPr>
              <w:pStyle w:val="TableText"/>
              <w:ind w:left="212"/>
              <w:spacing w:before="91" w:line="189" w:lineRule="auto"/>
              <w:rPr/>
            </w:pPr>
            <w:r>
              <w:rPr>
                <w:b/>
                <w:bCs/>
                <w:color w:val="FFFFFF"/>
                <w:spacing w:val="8"/>
              </w:rPr>
              <w:t>公司代码</w:t>
            </w:r>
          </w:p>
        </w:tc>
        <w:tc>
          <w:tcPr>
            <w:shd w:val="clear" w:fill="C0504D"/>
            <w:tcW w:w="1215" w:type="dxa"/>
            <w:vAlign w:val="top"/>
            <w:tcBorders>
              <w:bottom w:val="single" w:color="FFFFFF" w:sz="10" w:space="0"/>
            </w:tcBorders>
          </w:tcPr>
          <w:p>
            <w:pPr>
              <w:pStyle w:val="TableText"/>
              <w:ind w:left="179"/>
              <w:spacing w:before="91" w:line="189" w:lineRule="auto"/>
              <w:rPr/>
            </w:pPr>
            <w:r>
              <w:rPr>
                <w:b/>
                <w:bCs/>
                <w:color w:val="FFFFFF"/>
                <w:spacing w:val="8"/>
              </w:rPr>
              <w:t>公司简称</w:t>
            </w:r>
          </w:p>
        </w:tc>
        <w:tc>
          <w:tcPr>
            <w:shd w:val="clear" w:fill="C0504D"/>
            <w:tcW w:w="1324" w:type="dxa"/>
            <w:vAlign w:val="top"/>
            <w:tcBorders>
              <w:bottom w:val="single" w:color="FFFFFF" w:sz="10" w:space="0"/>
            </w:tcBorders>
          </w:tcPr>
          <w:p>
            <w:pPr>
              <w:pStyle w:val="TableText"/>
              <w:ind w:left="246"/>
              <w:spacing w:before="92" w:line="188" w:lineRule="auto"/>
              <w:rPr/>
            </w:pPr>
            <w:r>
              <w:rPr>
                <w:b/>
                <w:bCs/>
                <w:color w:val="FFFFFF"/>
                <w:spacing w:val="5"/>
              </w:rPr>
              <w:t>函件类别</w:t>
            </w:r>
          </w:p>
        </w:tc>
        <w:tc>
          <w:tcPr>
            <w:shd w:val="clear" w:fill="C0504D"/>
            <w:tcW w:w="5004" w:type="dxa"/>
            <w:vAlign w:val="top"/>
            <w:tcBorders>
              <w:bottom w:val="single" w:color="FFFFFF" w:sz="10" w:space="0"/>
            </w:tcBorders>
          </w:tcPr>
          <w:p>
            <w:pPr>
              <w:pStyle w:val="TableText"/>
              <w:ind w:left="2074"/>
              <w:spacing w:before="91" w:line="189" w:lineRule="auto"/>
              <w:rPr/>
            </w:pPr>
            <w:r>
              <w:rPr>
                <w:b/>
                <w:bCs/>
                <w:color w:val="FFFFFF"/>
                <w:spacing w:val="8"/>
              </w:rPr>
              <w:t>违规类型</w:t>
            </w:r>
          </w:p>
        </w:tc>
      </w:tr>
      <w:tr>
        <w:trPr>
          <w:trHeight w:val="719" w:hRule="atLeast"/>
        </w:trPr>
        <w:tc>
          <w:tcPr>
            <w:tcW w:w="1276" w:type="dxa"/>
            <w:vAlign w:val="top"/>
            <w:tcBorders>
              <w:top w:val="single" w:color="FFFFFF" w:sz="10" w:space="0"/>
            </w:tcBorders>
          </w:tcPr>
          <w:p>
            <w:pPr>
              <w:pStyle w:val="TableText"/>
              <w:ind w:left="270"/>
              <w:spacing w:before="94" w:line="178" w:lineRule="auto"/>
              <w:rPr/>
            </w:pPr>
            <w:r>
              <w:rPr>
                <w:spacing w:val="3"/>
              </w:rPr>
              <w:t>603275</w:t>
            </w:r>
          </w:p>
        </w:tc>
        <w:tc>
          <w:tcPr>
            <w:tcW w:w="1215" w:type="dxa"/>
            <w:vAlign w:val="top"/>
            <w:tcBorders>
              <w:top w:val="single" w:color="FFFFFF" w:sz="10" w:space="0"/>
            </w:tcBorders>
          </w:tcPr>
          <w:p>
            <w:pPr>
              <w:pStyle w:val="TableText"/>
              <w:ind w:left="176"/>
              <w:spacing w:before="80" w:line="188" w:lineRule="auto"/>
              <w:rPr/>
            </w:pPr>
            <w:r>
              <w:rPr>
                <w:spacing w:val="9"/>
              </w:rPr>
              <w:t>众辰科技</w:t>
            </w:r>
          </w:p>
        </w:tc>
        <w:tc>
          <w:tcPr>
            <w:tcW w:w="1324" w:type="dxa"/>
            <w:vAlign w:val="top"/>
            <w:tcBorders>
              <w:top w:val="single" w:color="FFFFFF" w:sz="10" w:space="0"/>
            </w:tcBorders>
          </w:tcPr>
          <w:p>
            <w:pPr>
              <w:pStyle w:val="TableText"/>
              <w:ind w:left="236"/>
              <w:spacing w:before="79" w:line="189" w:lineRule="auto"/>
              <w:rPr/>
            </w:pPr>
            <w:r>
              <w:rPr>
                <w:spacing w:val="8"/>
              </w:rPr>
              <w:t>监管警示</w:t>
            </w:r>
          </w:p>
        </w:tc>
        <w:tc>
          <w:tcPr>
            <w:tcW w:w="5004" w:type="dxa"/>
            <w:vAlign w:val="top"/>
            <w:tcBorders>
              <w:top w:val="single" w:color="FFFFFF" w:sz="10" w:space="0"/>
            </w:tcBorders>
          </w:tcPr>
          <w:p>
            <w:pPr>
              <w:pStyle w:val="TableText"/>
              <w:ind w:left="2" w:right="37"/>
              <w:spacing w:before="77" w:line="221" w:lineRule="auto"/>
              <w:rPr/>
            </w:pPr>
            <w:r>
              <w:rPr>
                <w:spacing w:val="9"/>
              </w:rPr>
              <w:t>公司时任独立董事父亲在6个月内买入又卖出其所持股</w:t>
            </w:r>
            <w:r>
              <w:rPr>
                <w:spacing w:val="14"/>
              </w:rPr>
              <w:t xml:space="preserve"> </w:t>
            </w:r>
            <w:r>
              <w:rPr>
                <w:spacing w:val="8"/>
              </w:rPr>
              <w:t>份的行为构成</w:t>
            </w:r>
            <w:r>
              <w:rPr>
                <w:b/>
                <w:bCs/>
                <w:spacing w:val="8"/>
              </w:rPr>
              <w:t>短线交易。</w:t>
            </w:r>
          </w:p>
        </w:tc>
      </w:tr>
      <w:tr>
        <w:trPr>
          <w:trHeight w:val="723" w:hRule="atLeast"/>
        </w:trPr>
        <w:tc>
          <w:tcPr>
            <w:shd w:val="clear" w:fill="F2DCDC"/>
            <w:tcW w:w="1276" w:type="dxa"/>
            <w:vAlign w:val="top"/>
          </w:tcPr>
          <w:p>
            <w:pPr>
              <w:pStyle w:val="TableText"/>
              <w:ind w:left="270"/>
              <w:spacing w:before="99" w:line="178" w:lineRule="auto"/>
              <w:rPr/>
            </w:pPr>
            <w:r>
              <w:rPr>
                <w:spacing w:val="3"/>
              </w:rPr>
              <w:t>603688</w:t>
            </w:r>
          </w:p>
        </w:tc>
        <w:tc>
          <w:tcPr>
            <w:shd w:val="clear" w:fill="F2DCDC"/>
            <w:tcW w:w="1215" w:type="dxa"/>
            <w:vAlign w:val="top"/>
          </w:tcPr>
          <w:p>
            <w:pPr>
              <w:pStyle w:val="TableText"/>
              <w:ind w:left="178"/>
              <w:spacing w:before="84" w:line="189" w:lineRule="auto"/>
              <w:rPr/>
            </w:pPr>
            <w:r>
              <w:rPr>
                <w:spacing w:val="8"/>
              </w:rPr>
              <w:t>石英股份</w:t>
            </w:r>
          </w:p>
        </w:tc>
        <w:tc>
          <w:tcPr>
            <w:shd w:val="clear" w:fill="F2DCDC"/>
            <w:tcW w:w="1324" w:type="dxa"/>
            <w:vAlign w:val="top"/>
          </w:tcPr>
          <w:p>
            <w:pPr>
              <w:pStyle w:val="TableText"/>
              <w:ind w:left="236"/>
              <w:spacing w:before="84" w:line="189" w:lineRule="auto"/>
              <w:rPr/>
            </w:pPr>
            <w:r>
              <w:rPr>
                <w:spacing w:val="8"/>
              </w:rPr>
              <w:t>监管警示</w:t>
            </w:r>
          </w:p>
        </w:tc>
        <w:tc>
          <w:tcPr>
            <w:shd w:val="clear" w:fill="F2DCDC"/>
            <w:tcW w:w="5004" w:type="dxa"/>
            <w:vAlign w:val="top"/>
          </w:tcPr>
          <w:p>
            <w:pPr>
              <w:pStyle w:val="TableText"/>
              <w:ind w:left="2" w:right="37"/>
              <w:spacing w:before="83" w:line="220" w:lineRule="auto"/>
              <w:rPr/>
            </w:pPr>
            <w:r>
              <w:rPr>
                <w:spacing w:val="9"/>
              </w:rPr>
              <w:t>公司时任董事、副总经理的父亲在6个月内买入又卖出</w:t>
            </w:r>
            <w:r>
              <w:rPr>
                <w:spacing w:val="14"/>
              </w:rPr>
              <w:t xml:space="preserve"> </w:t>
            </w:r>
            <w:r>
              <w:rPr>
                <w:spacing w:val="9"/>
              </w:rPr>
              <w:t>其所持有公司股份的行为构成</w:t>
            </w:r>
            <w:r>
              <w:rPr>
                <w:b/>
                <w:bCs/>
                <w:spacing w:val="9"/>
              </w:rPr>
              <w:t>短线交易。</w:t>
            </w:r>
          </w:p>
        </w:tc>
      </w:tr>
      <w:tr>
        <w:trPr>
          <w:trHeight w:val="2238" w:hRule="atLeast"/>
        </w:trPr>
        <w:tc>
          <w:tcPr>
            <w:tcW w:w="1276" w:type="dxa"/>
            <w:vAlign w:val="top"/>
          </w:tcPr>
          <w:p>
            <w:pPr>
              <w:pStyle w:val="TableText"/>
              <w:ind w:left="270"/>
              <w:spacing w:before="101" w:line="179" w:lineRule="auto"/>
              <w:rPr/>
            </w:pPr>
            <w:r>
              <w:rPr>
                <w:spacing w:val="3"/>
              </w:rPr>
              <w:t>600818</w:t>
            </w:r>
          </w:p>
        </w:tc>
        <w:tc>
          <w:tcPr>
            <w:tcW w:w="1215" w:type="dxa"/>
            <w:vAlign w:val="top"/>
          </w:tcPr>
          <w:p>
            <w:pPr>
              <w:pStyle w:val="TableText"/>
              <w:ind w:left="192"/>
              <w:spacing w:before="88" w:line="189" w:lineRule="auto"/>
              <w:rPr/>
            </w:pPr>
            <w:r>
              <w:rPr>
                <w:spacing w:val="5"/>
              </w:rPr>
              <w:t>中路股份</w:t>
            </w:r>
          </w:p>
        </w:tc>
        <w:tc>
          <w:tcPr>
            <w:tcW w:w="1324" w:type="dxa"/>
            <w:vAlign w:val="top"/>
          </w:tcPr>
          <w:p>
            <w:pPr>
              <w:pStyle w:val="TableText"/>
              <w:ind w:left="236"/>
              <w:spacing w:before="88" w:line="189" w:lineRule="auto"/>
              <w:rPr/>
            </w:pPr>
            <w:r>
              <w:rPr>
                <w:spacing w:val="8"/>
              </w:rPr>
              <w:t>监管警示</w:t>
            </w:r>
          </w:p>
        </w:tc>
        <w:tc>
          <w:tcPr>
            <w:tcW w:w="5004" w:type="dxa"/>
            <w:vAlign w:val="top"/>
          </w:tcPr>
          <w:p>
            <w:pPr>
              <w:pStyle w:val="TableText"/>
              <w:ind w:left="2" w:right="59" w:firstLine="3"/>
              <w:spacing w:before="231" w:line="349" w:lineRule="auto"/>
              <w:jc w:val="both"/>
              <w:rPr/>
            </w:pPr>
            <w:r>
              <w:rPr>
                <w:spacing w:val="4"/>
              </w:rPr>
              <w:t>立信会计师事务所 （特殊普通合伙） 作为中路股份有</w:t>
            </w:r>
            <w:r>
              <w:rPr>
                <w:spacing w:val="1"/>
              </w:rPr>
              <w:t xml:space="preserve">   </w:t>
            </w:r>
            <w:r>
              <w:rPr>
                <w:spacing w:val="5"/>
              </w:rPr>
              <w:t>限公司</w:t>
            </w:r>
            <w:r>
              <w:rPr>
                <w:b/>
                <w:bCs/>
                <w:spacing w:val="5"/>
              </w:rPr>
              <w:t>2020年度、</w:t>
            </w:r>
            <w:r>
              <w:rPr>
                <w:b/>
                <w:bCs/>
                <w:spacing w:val="-30"/>
              </w:rPr>
              <w:t xml:space="preserve"> </w:t>
            </w:r>
            <w:r>
              <w:rPr>
                <w:b/>
                <w:bCs/>
                <w:spacing w:val="5"/>
              </w:rPr>
              <w:t>2022年度审计机构</w:t>
            </w:r>
            <w:r>
              <w:rPr>
                <w:spacing w:val="5"/>
              </w:rPr>
              <w:t>， 注册会计师</w:t>
            </w:r>
            <w:r>
              <w:rPr/>
              <w:t xml:space="preserve">   </w:t>
            </w:r>
            <w:r>
              <w:rPr>
                <w:spacing w:val="6"/>
              </w:rPr>
              <w:t>作为公司2020年、</w:t>
            </w:r>
            <w:r>
              <w:rPr>
                <w:spacing w:val="-34"/>
              </w:rPr>
              <w:t xml:space="preserve"> </w:t>
            </w:r>
            <w:r>
              <w:rPr>
                <w:spacing w:val="6"/>
              </w:rPr>
              <w:t>2022年年度报告审计注册会计师，</w:t>
            </w:r>
            <w:r>
              <w:rPr/>
              <w:t xml:space="preserve"> </w:t>
            </w:r>
            <w:r>
              <w:rPr>
                <w:spacing w:val="9"/>
              </w:rPr>
              <w:t>存在审计职责履行不到位的情形。</w:t>
            </w:r>
          </w:p>
        </w:tc>
      </w:tr>
      <w:tr>
        <w:trPr>
          <w:trHeight w:val="733" w:hRule="atLeast"/>
        </w:trPr>
        <w:tc>
          <w:tcPr>
            <w:shd w:val="clear" w:fill="F2DCDC"/>
            <w:tcW w:w="1276" w:type="dxa"/>
            <w:vAlign w:val="top"/>
          </w:tcPr>
          <w:p>
            <w:pPr>
              <w:pStyle w:val="TableText"/>
              <w:ind w:left="270"/>
              <w:spacing w:before="106" w:line="179" w:lineRule="auto"/>
              <w:rPr/>
            </w:pPr>
            <w:r>
              <w:rPr>
                <w:spacing w:val="3"/>
              </w:rPr>
              <w:t>600108</w:t>
            </w:r>
          </w:p>
        </w:tc>
        <w:tc>
          <w:tcPr>
            <w:shd w:val="clear" w:fill="F2DCDC"/>
            <w:tcW w:w="1215" w:type="dxa"/>
            <w:vAlign w:val="top"/>
          </w:tcPr>
          <w:p>
            <w:pPr>
              <w:pStyle w:val="TableText"/>
              <w:ind w:left="178"/>
              <w:spacing w:before="93" w:line="189" w:lineRule="auto"/>
              <w:rPr/>
            </w:pPr>
            <w:r>
              <w:rPr>
                <w:spacing w:val="8"/>
              </w:rPr>
              <w:t>亚盛集团</w:t>
            </w:r>
          </w:p>
        </w:tc>
        <w:tc>
          <w:tcPr>
            <w:shd w:val="clear" w:fill="F2DCDC"/>
            <w:tcW w:w="1324" w:type="dxa"/>
            <w:vAlign w:val="top"/>
          </w:tcPr>
          <w:p>
            <w:pPr>
              <w:pStyle w:val="TableText"/>
              <w:ind w:left="236"/>
              <w:spacing w:before="93" w:line="189" w:lineRule="auto"/>
              <w:rPr/>
            </w:pPr>
            <w:r>
              <w:rPr>
                <w:spacing w:val="8"/>
              </w:rPr>
              <w:t>监管警示</w:t>
            </w:r>
          </w:p>
        </w:tc>
        <w:tc>
          <w:tcPr>
            <w:shd w:val="clear" w:fill="F2DCDC"/>
            <w:tcW w:w="5004" w:type="dxa"/>
            <w:vAlign w:val="top"/>
          </w:tcPr>
          <w:p>
            <w:pPr>
              <w:pStyle w:val="TableText"/>
              <w:ind w:left="2" w:right="34"/>
              <w:spacing w:before="93" w:line="220" w:lineRule="auto"/>
              <w:rPr/>
            </w:pPr>
            <w:r>
              <w:rPr>
                <w:spacing w:val="9"/>
              </w:rPr>
              <w:t>公司时任副总经理的配偶在6个月内买入又卖出其所持</w:t>
            </w:r>
            <w:r>
              <w:rPr>
                <w:spacing w:val="16"/>
                <w:w w:val="101"/>
              </w:rPr>
              <w:t xml:space="preserve"> </w:t>
            </w:r>
            <w:r>
              <w:rPr>
                <w:spacing w:val="8"/>
              </w:rPr>
              <w:t>股份的行为构成</w:t>
            </w:r>
            <w:r>
              <w:rPr>
                <w:b/>
                <w:bCs/>
                <w:spacing w:val="8"/>
              </w:rPr>
              <w:t>短线交易。</w:t>
            </w:r>
          </w:p>
        </w:tc>
      </w:tr>
    </w:tbl>
    <w:p>
      <w:pPr>
        <w:ind w:left="956"/>
        <w:spacing w:before="92" w:line="225" w:lineRule="auto"/>
        <w:outlineLvl w:val="1"/>
        <w:rPr>
          <w:rFonts w:ascii="Microsoft YaHei" w:hAnsi="Microsoft YaHei" w:eastAsia="Microsoft YaHei" w:cs="Microsoft YaHei"/>
          <w:sz w:val="24"/>
          <w:szCs w:val="24"/>
        </w:rPr>
      </w:pPr>
      <w:r>
        <w:rPr>
          <w:rFonts w:ascii="Microsoft YaHei" w:hAnsi="Microsoft YaHei" w:eastAsia="Microsoft YaHei" w:cs="Microsoft YaHei"/>
          <w:sz w:val="24"/>
          <w:szCs w:val="24"/>
          <w:b/>
          <w:bCs/>
          <w:spacing w:val="-12"/>
        </w:rPr>
        <w:t>（2） 问询函统计</w:t>
      </w:r>
    </w:p>
    <w:p>
      <w:pPr>
        <w:spacing w:line="225" w:lineRule="auto"/>
        <w:sectPr>
          <w:pgSz w:w="11910" w:h="16840"/>
          <w:pgMar w:top="400" w:right="639" w:bottom="0" w:left="0" w:header="0" w:footer="0" w:gutter="0"/>
        </w:sectPr>
        <w:rPr>
          <w:rFonts w:ascii="Microsoft YaHei" w:hAnsi="Microsoft YaHei" w:eastAsia="Microsoft YaHei" w:cs="Microsoft YaHei"/>
          <w:sz w:val="24"/>
          <w:szCs w:val="24"/>
        </w:rPr>
      </w:pPr>
    </w:p>
    <w:p>
      <w:pPr>
        <w:ind w:left="491"/>
        <w:spacing w:before="97" w:line="183" w:lineRule="auto"/>
        <w:rPr>
          <w:rFonts w:ascii="Microsoft YaHei" w:hAnsi="Microsoft YaHei" w:eastAsia="Microsoft YaHei" w:cs="Microsoft YaHei"/>
          <w:sz w:val="24"/>
          <w:szCs w:val="24"/>
        </w:rPr>
      </w:pPr>
      <w:r>
        <w:rPr>
          <w:rFonts w:ascii="Microsoft YaHei" w:hAnsi="Microsoft YaHei" w:eastAsia="Microsoft YaHei" w:cs="Microsoft YaHei"/>
          <w:sz w:val="24"/>
          <w:szCs w:val="24"/>
          <w:spacing w:val="-3"/>
        </w:rPr>
        <w:t>2024年7月15日-7月21日， 上交所官网未查询到监管问询函。</w:t>
      </w:r>
    </w:p>
    <w:p>
      <w:pPr>
        <w:pStyle w:val="BodyText"/>
        <w:spacing w:line="303" w:lineRule="auto"/>
        <w:rPr/>
      </w:pPr>
      <w:r/>
    </w:p>
    <w:p>
      <w:pPr>
        <w:pStyle w:val="BodyText"/>
        <w:spacing w:line="303" w:lineRule="auto"/>
        <w:rPr/>
      </w:pPr>
      <w:r/>
    </w:p>
    <w:p>
      <w:pPr>
        <w:ind w:left="530"/>
        <w:spacing w:before="103" w:line="183" w:lineRule="auto"/>
        <w:outlineLvl w:val="0"/>
        <w:rPr>
          <w:rFonts w:ascii="Microsoft YaHei" w:hAnsi="Microsoft YaHei" w:eastAsia="Microsoft YaHei" w:cs="Microsoft YaHei"/>
          <w:sz w:val="24"/>
          <w:szCs w:val="24"/>
        </w:rPr>
      </w:pPr>
      <w:r>
        <w:rPr>
          <w:rFonts w:ascii="Microsoft YaHei" w:hAnsi="Microsoft YaHei" w:eastAsia="Microsoft YaHei" w:cs="Microsoft YaHei"/>
          <w:sz w:val="24"/>
          <w:szCs w:val="24"/>
          <w:b/>
          <w:bCs/>
          <w:spacing w:val="-2"/>
        </w:rPr>
        <w:t>2、市场交易监管动态</w:t>
      </w:r>
    </w:p>
    <w:p>
      <w:pPr>
        <w:ind w:firstLine="491"/>
        <w:spacing w:before="133"/>
        <w:rPr>
          <w:rFonts w:ascii="Microsoft YaHei" w:hAnsi="Microsoft YaHei" w:eastAsia="Microsoft YaHei" w:cs="Microsoft YaHei"/>
          <w:sz w:val="24"/>
          <w:szCs w:val="24"/>
        </w:rPr>
      </w:pPr>
      <w:r>
        <w:rPr>
          <w:rFonts w:ascii="Microsoft YaHei" w:hAnsi="Microsoft YaHei" w:eastAsia="Microsoft YaHei" w:cs="Microsoft YaHei"/>
          <w:sz w:val="24"/>
          <w:szCs w:val="24"/>
          <w:spacing w:val="-2"/>
        </w:rPr>
        <w:t>2024年7月15日-7月21日， 上交所对49起拉抬打压、虚假申报等证券异常交易行为采取了书面警示</w:t>
      </w:r>
      <w:r>
        <w:rPr>
          <w:rFonts w:ascii="Microsoft YaHei" w:hAnsi="Microsoft YaHei" w:eastAsia="Microsoft YaHei" w:cs="Microsoft YaHei"/>
          <w:sz w:val="24"/>
          <w:szCs w:val="24"/>
          <w:spacing w:val="14"/>
        </w:rPr>
        <w:t xml:space="preserve"> </w:t>
      </w:r>
      <w:r>
        <w:rPr>
          <w:rFonts w:ascii="Microsoft YaHei" w:hAnsi="Microsoft YaHei" w:eastAsia="Microsoft YaHei" w:cs="Microsoft YaHei"/>
          <w:sz w:val="24"/>
          <w:szCs w:val="24"/>
          <w:spacing w:val="-3"/>
        </w:rPr>
        <w:t>等监管措施， 对个别波动幅度较大的可转债进行重点监控， 对16起上市公司重大事项等进行专项</w:t>
      </w:r>
      <w:r>
        <w:rPr>
          <w:rFonts w:ascii="Microsoft YaHei" w:hAnsi="Microsoft YaHei" w:eastAsia="Microsoft YaHei" w:cs="Microsoft YaHei"/>
          <w:sz w:val="24"/>
          <w:szCs w:val="24"/>
          <w:spacing w:val="-4"/>
        </w:rPr>
        <w:t>核查，</w:t>
      </w:r>
    </w:p>
    <w:p>
      <w:pPr>
        <w:ind w:left="17"/>
        <w:spacing w:before="1" w:line="183" w:lineRule="auto"/>
        <w:rPr>
          <w:rFonts w:ascii="Microsoft YaHei" w:hAnsi="Microsoft YaHei" w:eastAsia="Microsoft YaHei" w:cs="Microsoft YaHei"/>
          <w:sz w:val="24"/>
          <w:szCs w:val="24"/>
        </w:rPr>
      </w:pPr>
      <w:r>
        <w:rPr>
          <w:rFonts w:ascii="Microsoft YaHei" w:hAnsi="Microsoft YaHei" w:eastAsia="Microsoft YaHei" w:cs="Microsoft YaHei"/>
          <w:sz w:val="24"/>
          <w:szCs w:val="24"/>
          <w:spacing w:val="-2"/>
        </w:rPr>
        <w:t>向证监会上报涉嫌违法违规案件线索3起。</w:t>
      </w:r>
    </w:p>
    <w:p>
      <w:pPr>
        <w:spacing w:line="183" w:lineRule="auto"/>
        <w:sectPr>
          <w:pgSz w:w="11910" w:h="16840"/>
          <w:pgMar w:top="400" w:right="558" w:bottom="0" w:left="442" w:header="0" w:footer="0" w:gutter="0"/>
        </w:sectPr>
        <w:rPr>
          <w:rFonts w:ascii="Microsoft YaHei" w:hAnsi="Microsoft YaHei" w:eastAsia="Microsoft YaHei" w:cs="Microsoft YaHei"/>
          <w:sz w:val="24"/>
          <w:szCs w:val="24"/>
        </w:rPr>
      </w:pPr>
    </w:p>
    <w:p>
      <w:pPr>
        <w:pStyle w:val="BodyText"/>
        <w:spacing w:line="293" w:lineRule="auto"/>
        <w:rPr/>
      </w:pPr>
      <w:r/>
    </w:p>
    <w:p>
      <w:pPr>
        <w:pStyle w:val="BodyText"/>
        <w:spacing w:line="294" w:lineRule="auto"/>
        <w:rPr/>
      </w:pPr>
      <w:r/>
    </w:p>
    <w:p>
      <w:pPr>
        <w:spacing w:line="924" w:lineRule="exact"/>
        <w:rPr/>
      </w:pPr>
      <w:r>
        <w:rPr>
          <w:position w:val="-18"/>
        </w:rPr>
        <w:pict>
          <v:group id="_x0000_s30" style="mso-position-vertical-relative:line;mso-position-horizontal-relative:char;width:134.8pt;height:46.25pt;" filled="false" stroked="false" coordsize="2696,925" coordorigin="0,0">
            <v:shape id="_x0000_s32" style="position:absolute;left:0;top:0;width:2696;height:925;" filled="false" stroked="false" type="#_x0000_t75">
              <v:imagedata o:title="" r:id="rId13"/>
            </v:shape>
            <v:shape id="_x0000_s34" style="position:absolute;left:-20;top:-20;width:2736;height:965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ind w:left="366"/>
                      <w:spacing w:before="248" w:line="183" w:lineRule="auto"/>
                      <w:rPr>
                        <w:rFonts w:ascii="Microsoft YaHei" w:hAnsi="Microsoft YaHei" w:eastAsia="Microsoft YaHei" w:cs="Microsoft YaHei"/>
                        <w:sz w:val="28"/>
                        <w:szCs w:val="28"/>
                      </w:rPr>
                    </w:pPr>
                    <w:r>
                      <w:rPr>
                        <w:rFonts w:ascii="Microsoft YaHei" w:hAnsi="Microsoft YaHei" w:eastAsia="Microsoft YaHei" w:cs="Microsoft YaHei"/>
                        <w:sz w:val="28"/>
                        <w:szCs w:val="28"/>
                        <w:b/>
                        <w:bCs/>
                        <w:color w:val="FFFFFF"/>
                        <w:spacing w:val="-1"/>
                      </w:rPr>
                      <w:t>深交所监管动态</w:t>
                    </w:r>
                  </w:p>
                </w:txbxContent>
              </v:textbox>
            </v:shape>
          </v:group>
        </w:pict>
      </w:r>
    </w:p>
    <w:p>
      <w:pPr>
        <w:ind w:left="902"/>
        <w:spacing w:before="329" w:line="183" w:lineRule="auto"/>
        <w:outlineLvl w:val="0"/>
        <w:rPr>
          <w:rFonts w:ascii="Microsoft YaHei" w:hAnsi="Microsoft YaHei" w:eastAsia="Microsoft YaHei" w:cs="Microsoft YaHei"/>
          <w:sz w:val="24"/>
          <w:szCs w:val="24"/>
        </w:rPr>
      </w:pPr>
      <w:r>
        <w:rPr>
          <w:rFonts w:ascii="Microsoft YaHei" w:hAnsi="Microsoft YaHei" w:eastAsia="Microsoft YaHei" w:cs="Microsoft YaHei"/>
          <w:sz w:val="24"/>
          <w:szCs w:val="24"/>
          <w:b/>
          <w:bCs/>
          <w:spacing w:val="-3"/>
        </w:rPr>
        <w:t>1、上市公司监管动态</w:t>
      </w:r>
    </w:p>
    <w:p>
      <w:pPr>
        <w:ind w:left="933"/>
        <w:spacing w:before="170" w:line="183" w:lineRule="auto"/>
        <w:rPr>
          <w:rFonts w:ascii="Microsoft YaHei" w:hAnsi="Microsoft YaHei" w:eastAsia="Microsoft YaHei" w:cs="Microsoft YaHei"/>
          <w:sz w:val="24"/>
          <w:szCs w:val="24"/>
        </w:rPr>
      </w:pPr>
      <w:r>
        <w:rPr>
          <w:rFonts w:ascii="Microsoft YaHei" w:hAnsi="Microsoft YaHei" w:eastAsia="Microsoft YaHei" w:cs="Microsoft YaHei"/>
          <w:sz w:val="24"/>
          <w:szCs w:val="24"/>
          <w:spacing w:val="-2"/>
        </w:rPr>
        <w:t>2024年7月15日-7月21日， 深交所发出2份监管</w:t>
      </w:r>
      <w:r>
        <w:rPr>
          <w:rFonts w:ascii="Microsoft YaHei" w:hAnsi="Microsoft YaHei" w:eastAsia="Microsoft YaHei" w:cs="Microsoft YaHei"/>
          <w:sz w:val="24"/>
          <w:szCs w:val="24"/>
          <w:spacing w:val="-3"/>
        </w:rPr>
        <w:t>函,2份纪律处分措施。</w:t>
      </w:r>
    </w:p>
    <w:p>
      <w:pPr>
        <w:pStyle w:val="BodyText"/>
        <w:spacing w:line="390" w:lineRule="auto"/>
        <w:rPr/>
      </w:pPr>
      <w:r/>
    </w:p>
    <w:p>
      <w:pPr>
        <w:ind w:firstLine="1481"/>
        <w:spacing w:line="4331" w:lineRule="exact"/>
        <w:rPr/>
      </w:pPr>
      <w:r>
        <w:rPr>
          <w:position w:val="-86"/>
        </w:rPr>
        <w:drawing>
          <wp:inline distT="0" distB="0" distL="0" distR="0">
            <wp:extent cx="5493384" cy="2750184"/>
            <wp:effectExtent l="0" t="0" r="0" b="0"/>
            <wp:docPr id="22" name="IM 22"/>
            <wp:cNvGraphicFramePr/>
            <a:graphic>
              <a:graphicData uri="http://schemas.openxmlformats.org/drawingml/2006/picture">
                <pic:pic>
                  <pic:nvPicPr>
                    <pic:cNvPr id="22" name="IM 22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5493384" cy="27501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line="364" w:lineRule="auto"/>
        <w:rPr/>
      </w:pPr>
      <w:r/>
    </w:p>
    <w:p>
      <w:pPr>
        <w:ind w:left="997"/>
        <w:spacing w:before="104" w:line="213" w:lineRule="auto"/>
        <w:outlineLvl w:val="1"/>
        <w:rPr>
          <w:rFonts w:ascii="Microsoft YaHei" w:hAnsi="Microsoft YaHei" w:eastAsia="Microsoft YaHei" w:cs="Microsoft YaHei"/>
          <w:sz w:val="24"/>
          <w:szCs w:val="24"/>
        </w:rPr>
      </w:pPr>
      <w:r>
        <w:rPr>
          <w:rFonts w:ascii="Microsoft YaHei" w:hAnsi="Microsoft YaHei" w:eastAsia="Microsoft YaHei" w:cs="Microsoft YaHei"/>
          <w:sz w:val="24"/>
          <w:szCs w:val="24"/>
          <w:b/>
          <w:bCs/>
          <w:spacing w:val="-9"/>
        </w:rPr>
        <w:t>（1） 纪律处分及监管措施</w:t>
      </w:r>
    </w:p>
    <w:tbl>
      <w:tblPr>
        <w:tblStyle w:val="TableNormal"/>
        <w:tblW w:w="9016" w:type="dxa"/>
        <w:tblInd w:w="1346" w:type="dxa"/>
        <w:tblLayout w:type="fixed"/>
        <w:tblBorders>
          <w:top w:val="single" w:color="4F81BD" w:sz="2" w:space="0"/>
          <w:left w:val="single" w:color="4F81BD" w:sz="2" w:space="0"/>
          <w:bottom w:val="single" w:color="4F81BD" w:sz="2" w:space="0"/>
          <w:right w:val="single" w:color="4F81BD" w:sz="2" w:space="0"/>
          <w:insideH w:val="single" w:color="4F81BD" w:sz="2" w:space="0"/>
          <w:insideV w:val="single" w:color="4F81BD" w:sz="2" w:space="0"/>
        </w:tblBorders>
      </w:tblPr>
      <w:tblGrid>
        <w:gridCol w:w="1471"/>
        <w:gridCol w:w="1484"/>
        <w:gridCol w:w="1498"/>
        <w:gridCol w:w="4563"/>
      </w:tblGrid>
      <w:tr>
        <w:trPr>
          <w:trHeight w:val="641" w:hRule="atLeast"/>
        </w:trPr>
        <w:tc>
          <w:tcPr>
            <w:shd w:val="clear" w:fill="4BACC6"/>
            <w:tcW w:w="1471" w:type="dxa"/>
            <w:vAlign w:val="top"/>
          </w:tcPr>
          <w:p>
            <w:pPr>
              <w:pStyle w:val="TableText"/>
              <w:ind w:left="296"/>
              <w:spacing w:before="93" w:line="183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b/>
                <w:bCs/>
                <w:color w:val="FFFFFF"/>
                <w:spacing w:val="-1"/>
              </w:rPr>
              <w:t>公司代码</w:t>
            </w:r>
          </w:p>
        </w:tc>
        <w:tc>
          <w:tcPr>
            <w:shd w:val="clear" w:fill="4BACC6"/>
            <w:tcW w:w="1484" w:type="dxa"/>
            <w:vAlign w:val="top"/>
            <w:tcBorders>
              <w:top w:val="nil"/>
            </w:tcBorders>
          </w:tcPr>
          <w:p>
            <w:pPr>
              <w:pStyle w:val="TableText"/>
              <w:ind w:left="301"/>
              <w:spacing w:before="93" w:line="183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b/>
                <w:bCs/>
                <w:color w:val="FFFFFF"/>
                <w:spacing w:val="-1"/>
              </w:rPr>
              <w:t>公司简称</w:t>
            </w:r>
          </w:p>
        </w:tc>
        <w:tc>
          <w:tcPr>
            <w:shd w:val="clear" w:fill="4BACC6"/>
            <w:tcW w:w="1498" w:type="dxa"/>
            <w:vAlign w:val="top"/>
            <w:tcBorders>
              <w:top w:val="nil"/>
            </w:tcBorders>
          </w:tcPr>
          <w:p>
            <w:pPr>
              <w:pStyle w:val="TableText"/>
              <w:ind w:left="309"/>
              <w:spacing w:before="91" w:line="184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b/>
                <w:bCs/>
                <w:color w:val="FFFFFF"/>
                <w:spacing w:val="-1"/>
              </w:rPr>
              <w:t>监管类型</w:t>
            </w:r>
          </w:p>
        </w:tc>
        <w:tc>
          <w:tcPr>
            <w:shd w:val="clear" w:fill="4BACC6"/>
            <w:tcW w:w="4563" w:type="dxa"/>
            <w:vAlign w:val="top"/>
            <w:tcBorders>
              <w:top w:val="nil"/>
            </w:tcBorders>
          </w:tcPr>
          <w:p>
            <w:pPr>
              <w:pStyle w:val="TableText"/>
              <w:ind w:left="1838"/>
              <w:spacing w:before="91" w:line="184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b/>
                <w:bCs/>
                <w:color w:val="FFFFFF"/>
                <w:spacing w:val="-1"/>
              </w:rPr>
              <w:t>处理事由</w:t>
            </w:r>
          </w:p>
        </w:tc>
      </w:tr>
      <w:tr>
        <w:trPr>
          <w:trHeight w:val="724" w:hRule="atLeast"/>
        </w:trPr>
        <w:tc>
          <w:tcPr>
            <w:tcW w:w="1471" w:type="dxa"/>
            <w:vAlign w:val="top"/>
          </w:tcPr>
          <w:p>
            <w:pPr>
              <w:pStyle w:val="TableText"/>
              <w:ind w:left="379"/>
              <w:spacing w:before="280" w:line="178" w:lineRule="auto"/>
              <w:rPr/>
            </w:pPr>
            <w:r>
              <w:rPr>
                <w:spacing w:val="3"/>
              </w:rPr>
              <w:t>300353</w:t>
            </w:r>
          </w:p>
        </w:tc>
        <w:tc>
          <w:tcPr>
            <w:tcW w:w="1484" w:type="dxa"/>
            <w:vAlign w:val="top"/>
          </w:tcPr>
          <w:p>
            <w:pPr>
              <w:pStyle w:val="TableText"/>
              <w:ind w:left="318"/>
              <w:spacing w:before="265" w:line="189" w:lineRule="auto"/>
              <w:rPr/>
            </w:pPr>
            <w:r>
              <w:rPr>
                <w:spacing w:val="8"/>
              </w:rPr>
              <w:t>东土科技</w:t>
            </w:r>
          </w:p>
        </w:tc>
        <w:tc>
          <w:tcPr>
            <w:tcW w:w="1498" w:type="dxa"/>
            <w:vAlign w:val="top"/>
          </w:tcPr>
          <w:p>
            <w:pPr>
              <w:pStyle w:val="TableText"/>
              <w:ind w:left="435"/>
              <w:spacing w:before="265" w:line="189" w:lineRule="auto"/>
              <w:rPr/>
            </w:pPr>
            <w:r>
              <w:rPr>
                <w:spacing w:val="8"/>
              </w:rPr>
              <w:t>监管函</w:t>
            </w:r>
          </w:p>
        </w:tc>
        <w:tc>
          <w:tcPr>
            <w:tcW w:w="4563" w:type="dxa"/>
            <w:vAlign w:val="top"/>
          </w:tcPr>
          <w:p>
            <w:pPr>
              <w:pStyle w:val="TableText"/>
              <w:ind w:left="109" w:right="160"/>
              <w:spacing w:before="47" w:line="233" w:lineRule="auto"/>
              <w:rPr/>
            </w:pPr>
            <w:r>
              <w:rPr>
                <w:spacing w:val="6"/>
              </w:rPr>
              <w:t>公司于2024年4月22日晚披露的《</w:t>
            </w:r>
            <w:r>
              <w:rPr>
                <w:spacing w:val="-12"/>
              </w:rPr>
              <w:t xml:space="preserve"> </w:t>
            </w:r>
            <w:r>
              <w:rPr>
                <w:spacing w:val="6"/>
              </w:rPr>
              <w:t>2023年年度</w:t>
            </w:r>
            <w:r>
              <w:rPr/>
              <w:t xml:space="preserve"> </w:t>
            </w:r>
            <w:r>
              <w:rPr>
                <w:spacing w:val="7"/>
              </w:rPr>
              <w:t>报告》</w:t>
            </w:r>
            <w:r>
              <w:rPr>
                <w:spacing w:val="-15"/>
              </w:rPr>
              <w:t xml:space="preserve"> </w:t>
            </w:r>
            <w:r>
              <w:rPr>
                <w:spacing w:val="7"/>
              </w:rPr>
              <w:t>中关于</w:t>
            </w:r>
            <w:r>
              <w:rPr>
                <w:b/>
                <w:bCs/>
                <w:spacing w:val="7"/>
              </w:rPr>
              <w:t>主要销售客户情况的内容有误。</w:t>
            </w:r>
          </w:p>
        </w:tc>
      </w:tr>
      <w:tr>
        <w:trPr>
          <w:trHeight w:val="2885" w:hRule="atLeast"/>
        </w:trPr>
        <w:tc>
          <w:tcPr>
            <w:shd w:val="clear" w:fill="C7DAF1"/>
            <w:tcW w:w="1471" w:type="dxa"/>
            <w:vAlign w:val="top"/>
          </w:tcPr>
          <w:p>
            <w:pPr>
              <w:spacing w:line="253" w:lineRule="auto"/>
              <w:rPr>
                <w:rFonts w:ascii="Arial"/>
                <w:sz w:val="21"/>
              </w:rPr>
            </w:pPr>
            <w:r/>
          </w:p>
          <w:p>
            <w:pPr>
              <w:spacing w:line="254" w:lineRule="auto"/>
              <w:rPr>
                <w:rFonts w:ascii="Arial"/>
                <w:sz w:val="21"/>
              </w:rPr>
            </w:pPr>
            <w:r/>
          </w:p>
          <w:p>
            <w:pPr>
              <w:spacing w:line="254" w:lineRule="auto"/>
              <w:rPr>
                <w:rFonts w:ascii="Arial"/>
                <w:sz w:val="21"/>
              </w:rPr>
            </w:pPr>
            <w:r/>
          </w:p>
          <w:p>
            <w:pPr>
              <w:spacing w:line="254" w:lineRule="auto"/>
              <w:rPr>
                <w:rFonts w:ascii="Arial"/>
                <w:sz w:val="21"/>
              </w:rPr>
            </w:pPr>
            <w:r/>
          </w:p>
          <w:p>
            <w:pPr>
              <w:spacing w:line="254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73"/>
              <w:spacing w:before="86" w:line="178" w:lineRule="auto"/>
              <w:rPr/>
            </w:pPr>
            <w:r>
              <w:rPr>
                <w:spacing w:val="3"/>
              </w:rPr>
              <w:t>002485</w:t>
            </w:r>
          </w:p>
        </w:tc>
        <w:tc>
          <w:tcPr>
            <w:shd w:val="clear" w:fill="C7DAF1"/>
            <w:tcW w:w="1484" w:type="dxa"/>
            <w:vAlign w:val="top"/>
          </w:tcPr>
          <w:p>
            <w:pPr>
              <w:spacing w:line="251" w:lineRule="auto"/>
              <w:rPr>
                <w:rFonts w:ascii="Arial"/>
                <w:sz w:val="21"/>
              </w:rPr>
            </w:pPr>
            <w:r/>
          </w:p>
          <w:p>
            <w:pPr>
              <w:spacing w:line="251" w:lineRule="auto"/>
              <w:rPr>
                <w:rFonts w:ascii="Arial"/>
                <w:sz w:val="21"/>
              </w:rPr>
            </w:pPr>
            <w:r/>
          </w:p>
          <w:p>
            <w:pPr>
              <w:spacing w:line="251" w:lineRule="auto"/>
              <w:rPr>
                <w:rFonts w:ascii="Arial"/>
                <w:sz w:val="21"/>
              </w:rPr>
            </w:pPr>
            <w:r/>
          </w:p>
          <w:p>
            <w:pPr>
              <w:spacing w:line="251" w:lineRule="auto"/>
              <w:rPr>
                <w:rFonts w:ascii="Arial"/>
                <w:sz w:val="21"/>
              </w:rPr>
            </w:pPr>
            <w:r/>
          </w:p>
          <w:p>
            <w:pPr>
              <w:spacing w:line="251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420"/>
              <w:spacing w:before="85" w:line="189" w:lineRule="auto"/>
              <w:rPr/>
            </w:pPr>
            <w:r>
              <w:rPr/>
              <w:t>ST</w:t>
            </w:r>
            <w:r>
              <w:rPr>
                <w:spacing w:val="7"/>
              </w:rPr>
              <w:t>雪发</w:t>
            </w:r>
          </w:p>
        </w:tc>
        <w:tc>
          <w:tcPr>
            <w:shd w:val="clear" w:fill="C7DAF1"/>
            <w:tcW w:w="1498" w:type="dxa"/>
            <w:vAlign w:val="top"/>
          </w:tcPr>
          <w:p>
            <w:pPr>
              <w:spacing w:line="251" w:lineRule="auto"/>
              <w:rPr>
                <w:rFonts w:ascii="Arial"/>
                <w:sz w:val="21"/>
              </w:rPr>
            </w:pPr>
            <w:r/>
          </w:p>
          <w:p>
            <w:pPr>
              <w:spacing w:line="251" w:lineRule="auto"/>
              <w:rPr>
                <w:rFonts w:ascii="Arial"/>
                <w:sz w:val="21"/>
              </w:rPr>
            </w:pPr>
            <w:r/>
          </w:p>
          <w:p>
            <w:pPr>
              <w:spacing w:line="251" w:lineRule="auto"/>
              <w:rPr>
                <w:rFonts w:ascii="Arial"/>
                <w:sz w:val="21"/>
              </w:rPr>
            </w:pPr>
            <w:r/>
          </w:p>
          <w:p>
            <w:pPr>
              <w:spacing w:line="251" w:lineRule="auto"/>
              <w:rPr>
                <w:rFonts w:ascii="Arial"/>
                <w:sz w:val="21"/>
              </w:rPr>
            </w:pPr>
            <w:r/>
          </w:p>
          <w:p>
            <w:pPr>
              <w:spacing w:line="251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435"/>
              <w:spacing w:before="85" w:line="189" w:lineRule="auto"/>
              <w:rPr/>
            </w:pPr>
            <w:r>
              <w:rPr>
                <w:spacing w:val="8"/>
              </w:rPr>
              <w:t>监管函</w:t>
            </w:r>
          </w:p>
        </w:tc>
        <w:tc>
          <w:tcPr>
            <w:shd w:val="clear" w:fill="C7DAF1"/>
            <w:tcW w:w="4563" w:type="dxa"/>
            <w:vAlign w:val="top"/>
          </w:tcPr>
          <w:p>
            <w:pPr>
              <w:pStyle w:val="TableText"/>
              <w:ind w:left="109" w:right="148" w:firstLine="14"/>
              <w:spacing w:before="50" w:line="245" w:lineRule="auto"/>
              <w:rPr/>
            </w:pPr>
            <w:r>
              <w:rPr>
                <w:spacing w:val="2"/>
              </w:rPr>
              <w:t>中兴华会计师事务所 （特殊普通合伙） 为希努</w:t>
            </w:r>
            <w:r>
              <w:rPr>
                <w:spacing w:val="5"/>
              </w:rPr>
              <w:t xml:space="preserve">   </w:t>
            </w:r>
            <w:r>
              <w:rPr>
                <w:spacing w:val="9"/>
              </w:rPr>
              <w:t>尔男装股份有限公司(现更名为雪松发展股份有</w:t>
            </w:r>
            <w:r>
              <w:rPr>
                <w:spacing w:val="7"/>
              </w:rPr>
              <w:t xml:space="preserve"> </w:t>
            </w:r>
            <w:r>
              <w:rPr>
                <w:spacing w:val="8"/>
              </w:rPr>
              <w:t>限公司,以下简称希努尔)</w:t>
            </w:r>
            <w:r>
              <w:rPr>
                <w:b/>
                <w:bCs/>
                <w:spacing w:val="8"/>
              </w:rPr>
              <w:t>2018年至2019</w:t>
            </w:r>
            <w:r>
              <w:rPr>
                <w:b/>
                <w:bCs/>
                <w:spacing w:val="7"/>
              </w:rPr>
              <w:t>年年度</w:t>
            </w:r>
            <w:r>
              <w:rPr>
                <w:b/>
                <w:bCs/>
              </w:rPr>
              <w:t xml:space="preserve"> </w:t>
            </w:r>
            <w:r>
              <w:rPr>
                <w:b/>
                <w:bCs/>
                <w:spacing w:val="8"/>
              </w:rPr>
              <w:t>财务报表审计服务机构</w:t>
            </w:r>
            <w:r>
              <w:rPr>
                <w:spacing w:val="8"/>
              </w:rPr>
              <w:t>,在对希努尔2018年、</w:t>
            </w:r>
          </w:p>
          <w:p>
            <w:pPr>
              <w:pStyle w:val="TableText"/>
              <w:ind w:left="109" w:right="131" w:firstLine="9"/>
              <w:spacing w:before="73" w:line="236" w:lineRule="auto"/>
              <w:rPr/>
            </w:pPr>
            <w:r>
              <w:rPr>
                <w:spacing w:val="8"/>
              </w:rPr>
              <w:t>2019年财务报表审计时,未结合对被审计单位及</w:t>
            </w:r>
            <w:r>
              <w:rPr>
                <w:spacing w:val="5"/>
              </w:rPr>
              <w:t xml:space="preserve"> </w:t>
            </w:r>
            <w:r>
              <w:rPr>
                <w:spacing w:val="9"/>
              </w:rPr>
              <w:t>其环境的了解,保持应有的职业怀疑和职业谨慎,</w:t>
            </w:r>
            <w:r>
              <w:rPr/>
              <w:t xml:space="preserve"> </w:t>
            </w:r>
            <w:r>
              <w:rPr>
                <w:spacing w:val="9"/>
              </w:rPr>
              <w:t>未获取充分适当的审计证据,风险应对措施不到</w:t>
            </w:r>
            <w:r>
              <w:rPr>
                <w:spacing w:val="2"/>
              </w:rPr>
              <w:t xml:space="preserve">  </w:t>
            </w:r>
            <w:r>
              <w:rPr>
                <w:spacing w:val="3"/>
              </w:rPr>
              <w:t>位， 质量控制执行不到位。</w:t>
            </w:r>
          </w:p>
        </w:tc>
      </w:tr>
      <w:tr>
        <w:trPr>
          <w:trHeight w:val="1445" w:hRule="atLeast"/>
        </w:trPr>
        <w:tc>
          <w:tcPr>
            <w:tcW w:w="1471" w:type="dxa"/>
            <w:vAlign w:val="top"/>
          </w:tcPr>
          <w:p>
            <w:pPr>
              <w:spacing w:line="276" w:lineRule="auto"/>
              <w:rPr>
                <w:rFonts w:ascii="Arial"/>
                <w:sz w:val="21"/>
              </w:rPr>
            </w:pPr>
            <w:r/>
          </w:p>
          <w:p>
            <w:pPr>
              <w:spacing w:line="277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73"/>
              <w:spacing w:before="86" w:line="178" w:lineRule="auto"/>
              <w:rPr/>
            </w:pPr>
            <w:r>
              <w:rPr>
                <w:spacing w:val="3"/>
              </w:rPr>
              <w:t>000609</w:t>
            </w:r>
          </w:p>
        </w:tc>
        <w:tc>
          <w:tcPr>
            <w:tcW w:w="1484" w:type="dxa"/>
            <w:vAlign w:val="top"/>
          </w:tcPr>
          <w:p>
            <w:pPr>
              <w:spacing w:line="269" w:lineRule="auto"/>
              <w:rPr>
                <w:rFonts w:ascii="Arial"/>
                <w:sz w:val="21"/>
              </w:rPr>
            </w:pPr>
            <w:r/>
          </w:p>
          <w:p>
            <w:pPr>
              <w:spacing w:line="270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68"/>
              <w:spacing w:before="85" w:line="189" w:lineRule="auto"/>
              <w:rPr/>
            </w:pPr>
            <w:r>
              <w:rPr>
                <w:spacing w:val="8"/>
              </w:rPr>
              <w:t>*</w:t>
            </w:r>
            <w:r>
              <w:rPr/>
              <w:t>ST</w:t>
            </w:r>
            <w:r>
              <w:rPr>
                <w:spacing w:val="8"/>
              </w:rPr>
              <w:t>中迪</w:t>
            </w:r>
          </w:p>
        </w:tc>
        <w:tc>
          <w:tcPr>
            <w:tcW w:w="1498" w:type="dxa"/>
            <w:vAlign w:val="top"/>
          </w:tcPr>
          <w:p>
            <w:pPr>
              <w:spacing w:line="270" w:lineRule="auto"/>
              <w:rPr>
                <w:rFonts w:ascii="Arial"/>
                <w:sz w:val="21"/>
              </w:rPr>
            </w:pPr>
            <w:r/>
          </w:p>
          <w:p>
            <w:pPr>
              <w:spacing w:line="270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27"/>
              <w:spacing w:before="86" w:line="188" w:lineRule="auto"/>
              <w:rPr/>
            </w:pPr>
            <w:r>
              <w:rPr>
                <w:spacing w:val="8"/>
              </w:rPr>
              <w:t>通报批评</w:t>
            </w:r>
          </w:p>
        </w:tc>
        <w:tc>
          <w:tcPr>
            <w:tcW w:w="4563" w:type="dxa"/>
            <w:vAlign w:val="top"/>
          </w:tcPr>
          <w:p>
            <w:pPr>
              <w:pStyle w:val="TableText"/>
              <w:ind w:left="109" w:right="253"/>
              <w:spacing w:before="90" w:line="235" w:lineRule="auto"/>
              <w:jc w:val="both"/>
              <w:rPr/>
            </w:pPr>
            <w:r>
              <w:rPr>
                <w:spacing w:val="8"/>
              </w:rPr>
              <w:t>公司2023年度经审计的营业收入低于1亿元且</w:t>
            </w:r>
            <w:r>
              <w:rPr>
                <w:spacing w:val="17"/>
              </w:rPr>
              <w:t xml:space="preserve"> </w:t>
            </w:r>
            <w:r>
              <w:rPr>
                <w:spacing w:val="3"/>
              </w:rPr>
              <w:t>净利润为负， 公司</w:t>
            </w:r>
            <w:r>
              <w:rPr>
                <w:b/>
                <w:bCs/>
                <w:spacing w:val="3"/>
              </w:rPr>
              <w:t>业绩预告</w:t>
            </w:r>
            <w:r>
              <w:rPr>
                <w:spacing w:val="3"/>
              </w:rPr>
              <w:t>不准确， 且未在会</w:t>
            </w:r>
            <w:r>
              <w:rPr>
                <w:spacing w:val="9"/>
              </w:rPr>
              <w:t xml:space="preserve"> </w:t>
            </w:r>
            <w:r>
              <w:rPr>
                <w:spacing w:val="9"/>
              </w:rPr>
              <w:t>计年度结束后一个月内对公司股票交易可能被</w:t>
            </w:r>
            <w:r>
              <w:rPr>
                <w:spacing w:val="13"/>
              </w:rPr>
              <w:t xml:space="preserve"> </w:t>
            </w:r>
            <w:r>
              <w:rPr>
                <w:spacing w:val="9"/>
              </w:rPr>
              <w:t>实施</w:t>
            </w:r>
            <w:r>
              <w:rPr>
                <w:b/>
                <w:bCs/>
                <w:spacing w:val="9"/>
              </w:rPr>
              <w:t>退市风险警示</w:t>
            </w:r>
            <w:r>
              <w:rPr>
                <w:spacing w:val="9"/>
              </w:rPr>
              <w:t>的风险进行提示。</w:t>
            </w:r>
          </w:p>
        </w:tc>
      </w:tr>
      <w:tr>
        <w:trPr>
          <w:trHeight w:val="729" w:hRule="atLeast"/>
        </w:trPr>
        <w:tc>
          <w:tcPr>
            <w:shd w:val="clear" w:fill="C7DAF1"/>
            <w:tcW w:w="1471" w:type="dxa"/>
            <w:vAlign w:val="top"/>
          </w:tcPr>
          <w:p>
            <w:pPr>
              <w:pStyle w:val="TableText"/>
              <w:ind w:left="373"/>
              <w:spacing w:before="285" w:line="178" w:lineRule="auto"/>
              <w:rPr/>
            </w:pPr>
            <w:r>
              <w:rPr>
                <w:spacing w:val="3"/>
              </w:rPr>
              <w:t>000826</w:t>
            </w:r>
          </w:p>
        </w:tc>
        <w:tc>
          <w:tcPr>
            <w:shd w:val="clear" w:fill="C7DAF1"/>
            <w:tcW w:w="1484" w:type="dxa"/>
            <w:vAlign w:val="top"/>
          </w:tcPr>
          <w:p>
            <w:pPr>
              <w:pStyle w:val="TableText"/>
              <w:ind w:left="318"/>
              <w:spacing w:before="268" w:line="190" w:lineRule="auto"/>
              <w:rPr/>
            </w:pPr>
            <w:r>
              <w:rPr>
                <w:spacing w:val="9"/>
              </w:rPr>
              <w:t>启迪环境</w:t>
            </w:r>
          </w:p>
        </w:tc>
        <w:tc>
          <w:tcPr>
            <w:shd w:val="clear" w:fill="C7DAF1"/>
            <w:tcW w:w="1498" w:type="dxa"/>
            <w:vAlign w:val="top"/>
          </w:tcPr>
          <w:p>
            <w:pPr>
              <w:pStyle w:val="TableText"/>
              <w:ind w:left="327"/>
              <w:spacing w:before="271" w:line="188" w:lineRule="auto"/>
              <w:rPr/>
            </w:pPr>
            <w:r>
              <w:rPr>
                <w:spacing w:val="8"/>
              </w:rPr>
              <w:t>通报批评</w:t>
            </w:r>
          </w:p>
        </w:tc>
        <w:tc>
          <w:tcPr>
            <w:shd w:val="clear" w:fill="C7DAF1"/>
            <w:tcW w:w="4563" w:type="dxa"/>
            <w:vAlign w:val="top"/>
          </w:tcPr>
          <w:p>
            <w:pPr>
              <w:pStyle w:val="TableText"/>
              <w:ind w:left="109" w:right="253"/>
              <w:spacing w:before="89" w:line="220" w:lineRule="auto"/>
              <w:rPr/>
            </w:pPr>
            <w:r>
              <w:rPr>
                <w:spacing w:val="9"/>
              </w:rPr>
              <w:t>大股东未在首次减持前十五个交易日</w:t>
            </w:r>
            <w:r>
              <w:rPr>
                <w:b/>
                <w:bCs/>
                <w:spacing w:val="9"/>
              </w:rPr>
              <w:t>预披露股</w:t>
            </w:r>
            <w:r>
              <w:rPr>
                <w:b/>
                <w:bCs/>
                <w:spacing w:val="13"/>
              </w:rPr>
              <w:t xml:space="preserve"> </w:t>
            </w:r>
            <w:r>
              <w:rPr>
                <w:b/>
                <w:bCs/>
                <w:spacing w:val="7"/>
              </w:rPr>
              <w:t>份减持计划。</w:t>
            </w:r>
          </w:p>
        </w:tc>
      </w:tr>
    </w:tbl>
    <w:p>
      <w:pPr>
        <w:pStyle w:val="BodyText"/>
        <w:spacing w:line="259" w:lineRule="auto"/>
        <w:rPr/>
      </w:pPr>
      <w:r/>
    </w:p>
    <w:p>
      <w:pPr>
        <w:pStyle w:val="BodyText"/>
        <w:spacing w:line="260" w:lineRule="auto"/>
        <w:rPr/>
      </w:pPr>
      <w:r/>
    </w:p>
    <w:p>
      <w:pPr>
        <w:pStyle w:val="BodyText"/>
        <w:spacing w:line="260" w:lineRule="auto"/>
        <w:rPr/>
      </w:pPr>
      <w:r/>
    </w:p>
    <w:p>
      <w:pPr>
        <w:ind w:left="997"/>
        <w:spacing w:before="103" w:line="225" w:lineRule="auto"/>
        <w:outlineLvl w:val="1"/>
        <w:rPr>
          <w:rFonts w:ascii="Microsoft YaHei" w:hAnsi="Microsoft YaHei" w:eastAsia="Microsoft YaHei" w:cs="Microsoft YaHei"/>
          <w:sz w:val="24"/>
          <w:szCs w:val="24"/>
        </w:rPr>
      </w:pPr>
      <w:r>
        <w:rPr>
          <w:rFonts w:ascii="Microsoft YaHei" w:hAnsi="Microsoft YaHei" w:eastAsia="Microsoft YaHei" w:cs="Microsoft YaHei"/>
          <w:sz w:val="24"/>
          <w:szCs w:val="24"/>
          <w:b/>
          <w:bCs/>
          <w:spacing w:val="-14"/>
        </w:rPr>
        <w:t>（2） 问询函件</w:t>
      </w:r>
    </w:p>
    <w:p>
      <w:pPr>
        <w:spacing w:line="225" w:lineRule="auto"/>
        <w:sectPr>
          <w:pgSz w:w="11910" w:h="16840"/>
          <w:pgMar w:top="400" w:right="1544" w:bottom="0" w:left="0" w:header="0" w:footer="0" w:gutter="0"/>
        </w:sectPr>
        <w:rPr>
          <w:rFonts w:ascii="Microsoft YaHei" w:hAnsi="Microsoft YaHei" w:eastAsia="Microsoft YaHei" w:cs="Microsoft YaHei"/>
          <w:sz w:val="24"/>
          <w:szCs w:val="24"/>
        </w:rPr>
      </w:pPr>
    </w:p>
    <w:p>
      <w:pPr>
        <w:ind w:left="492"/>
        <w:spacing w:before="97" w:line="183" w:lineRule="auto"/>
        <w:rPr>
          <w:rFonts w:ascii="Microsoft YaHei" w:hAnsi="Microsoft YaHei" w:eastAsia="Microsoft YaHei" w:cs="Microsoft YaHei"/>
          <w:sz w:val="24"/>
          <w:szCs w:val="24"/>
        </w:rPr>
      </w:pPr>
      <w:r>
        <w:rPr>
          <w:rFonts w:ascii="Microsoft YaHei" w:hAnsi="Microsoft YaHei" w:eastAsia="Microsoft YaHei" w:cs="Microsoft YaHei"/>
          <w:sz w:val="24"/>
          <w:szCs w:val="24"/>
          <w:spacing w:val="-6"/>
        </w:rPr>
        <w:t>2024 年 7 月 15</w:t>
      </w:r>
      <w:r>
        <w:rPr>
          <w:rFonts w:ascii="Microsoft YaHei" w:hAnsi="Microsoft YaHei" w:eastAsia="Microsoft YaHei" w:cs="Microsoft YaHei"/>
          <w:sz w:val="24"/>
          <w:szCs w:val="24"/>
          <w:spacing w:val="21"/>
          <w:w w:val="101"/>
        </w:rPr>
        <w:t xml:space="preserve"> </w:t>
      </w:r>
      <w:r>
        <w:rPr>
          <w:rFonts w:ascii="Microsoft YaHei" w:hAnsi="Microsoft YaHei" w:eastAsia="Microsoft YaHei" w:cs="Microsoft YaHei"/>
          <w:sz w:val="24"/>
          <w:szCs w:val="24"/>
          <w:spacing w:val="-6"/>
        </w:rPr>
        <w:t>日-7 月 21</w:t>
      </w:r>
      <w:r>
        <w:rPr>
          <w:rFonts w:ascii="Microsoft YaHei" w:hAnsi="Microsoft YaHei" w:eastAsia="Microsoft YaHei" w:cs="Microsoft YaHei"/>
          <w:sz w:val="24"/>
          <w:szCs w:val="24"/>
          <w:spacing w:val="21"/>
          <w:w w:val="101"/>
        </w:rPr>
        <w:t xml:space="preserve"> </w:t>
      </w:r>
      <w:r>
        <w:rPr>
          <w:rFonts w:ascii="Microsoft YaHei" w:hAnsi="Microsoft YaHei" w:eastAsia="Microsoft YaHei" w:cs="Microsoft YaHei"/>
          <w:sz w:val="24"/>
          <w:szCs w:val="24"/>
          <w:spacing w:val="-6"/>
        </w:rPr>
        <w:t>日， 深交所官网未</w:t>
      </w:r>
      <w:r>
        <w:rPr>
          <w:rFonts w:ascii="Microsoft YaHei" w:hAnsi="Microsoft YaHei" w:eastAsia="Microsoft YaHei" w:cs="Microsoft YaHei"/>
          <w:sz w:val="24"/>
          <w:szCs w:val="24"/>
          <w:spacing w:val="-7"/>
        </w:rPr>
        <w:t>查询到问询函件。</w:t>
      </w:r>
    </w:p>
    <w:p>
      <w:pPr>
        <w:pStyle w:val="BodyText"/>
        <w:spacing w:line="272" w:lineRule="auto"/>
        <w:rPr/>
      </w:pPr>
      <w:r/>
    </w:p>
    <w:p>
      <w:pPr>
        <w:ind w:left="490"/>
        <w:spacing w:before="103" w:line="183" w:lineRule="auto"/>
        <w:outlineLvl w:val="0"/>
        <w:rPr>
          <w:rFonts w:ascii="Microsoft YaHei" w:hAnsi="Microsoft YaHei" w:eastAsia="Microsoft YaHei" w:cs="Microsoft YaHei"/>
          <w:sz w:val="24"/>
          <w:szCs w:val="24"/>
        </w:rPr>
      </w:pPr>
      <w:r>
        <w:rPr>
          <w:rFonts w:ascii="Microsoft YaHei" w:hAnsi="Microsoft YaHei" w:eastAsia="Microsoft YaHei" w:cs="Microsoft YaHei"/>
          <w:sz w:val="24"/>
          <w:szCs w:val="24"/>
          <w:b/>
          <w:bCs/>
          <w:spacing w:val="-2"/>
        </w:rPr>
        <w:t>2、市场交易监管动态</w:t>
      </w:r>
    </w:p>
    <w:p>
      <w:pPr>
        <w:pStyle w:val="BodyText"/>
        <w:spacing w:line="276" w:lineRule="auto"/>
        <w:rPr/>
      </w:pPr>
      <w:r/>
    </w:p>
    <w:p>
      <w:pPr>
        <w:ind w:firstLine="492"/>
        <w:spacing w:before="103" w:line="358" w:lineRule="auto"/>
        <w:jc w:val="both"/>
        <w:rPr>
          <w:rFonts w:ascii="Microsoft YaHei" w:hAnsi="Microsoft YaHei" w:eastAsia="Microsoft YaHei" w:cs="Microsoft YaHei"/>
          <w:sz w:val="24"/>
          <w:szCs w:val="24"/>
        </w:rPr>
      </w:pPr>
      <w:r>
        <w:rPr>
          <w:rFonts w:ascii="Microsoft YaHei" w:hAnsi="Microsoft YaHei" w:eastAsia="Microsoft YaHei" w:cs="Microsoft YaHei"/>
          <w:sz w:val="24"/>
          <w:szCs w:val="24"/>
          <w:spacing w:val="-5"/>
        </w:rPr>
        <w:t>2024 年 7 月 15</w:t>
      </w:r>
      <w:r>
        <w:rPr>
          <w:rFonts w:ascii="Microsoft YaHei" w:hAnsi="Microsoft YaHei" w:eastAsia="Microsoft YaHei" w:cs="Microsoft YaHei"/>
          <w:sz w:val="24"/>
          <w:szCs w:val="24"/>
          <w:spacing w:val="29"/>
        </w:rPr>
        <w:t xml:space="preserve"> </w:t>
      </w:r>
      <w:r>
        <w:rPr>
          <w:rFonts w:ascii="Microsoft YaHei" w:hAnsi="Microsoft YaHei" w:eastAsia="Microsoft YaHei" w:cs="Microsoft YaHei"/>
          <w:sz w:val="24"/>
          <w:szCs w:val="24"/>
          <w:spacing w:val="-5"/>
        </w:rPr>
        <w:t>日-7 月 21</w:t>
      </w:r>
      <w:r>
        <w:rPr>
          <w:rFonts w:ascii="Microsoft YaHei" w:hAnsi="Microsoft YaHei" w:eastAsia="Microsoft YaHei" w:cs="Microsoft YaHei"/>
          <w:sz w:val="24"/>
          <w:szCs w:val="24"/>
          <w:spacing w:val="22"/>
        </w:rPr>
        <w:t xml:space="preserve"> </w:t>
      </w:r>
      <w:r>
        <w:rPr>
          <w:rFonts w:ascii="Microsoft YaHei" w:hAnsi="Microsoft YaHei" w:eastAsia="Microsoft YaHei" w:cs="Microsoft YaHei"/>
          <w:sz w:val="24"/>
          <w:szCs w:val="24"/>
          <w:spacing w:val="-5"/>
        </w:rPr>
        <w:t>日， 深交所共对 54 起证券异常交易行为采取了自律监管措施， 涉及盘</w:t>
      </w:r>
      <w:r>
        <w:rPr>
          <w:rFonts w:ascii="Microsoft YaHei" w:hAnsi="Microsoft YaHei" w:eastAsia="Microsoft YaHei" w:cs="Microsoft YaHei"/>
          <w:sz w:val="24"/>
          <w:szCs w:val="24"/>
        </w:rPr>
        <w:t xml:space="preserve"> </w:t>
      </w:r>
      <w:r>
        <w:rPr>
          <w:rFonts w:ascii="Microsoft YaHei" w:hAnsi="Microsoft YaHei" w:eastAsia="Microsoft YaHei" w:cs="Microsoft YaHei"/>
          <w:sz w:val="24"/>
          <w:szCs w:val="24"/>
          <w:spacing w:val="-2"/>
        </w:rPr>
        <w:t>中拉抬打压、虚假申报等异常交易情形； 共对 10 起上市公司重大事项进行核查， 并上报证监会 3 起涉</w:t>
      </w:r>
      <w:r>
        <w:rPr>
          <w:rFonts w:ascii="Microsoft YaHei" w:hAnsi="Microsoft YaHei" w:eastAsia="Microsoft YaHei" w:cs="Microsoft YaHei"/>
          <w:sz w:val="24"/>
          <w:szCs w:val="24"/>
          <w:spacing w:val="2"/>
        </w:rPr>
        <w:t xml:space="preserve"> </w:t>
      </w:r>
      <w:r>
        <w:rPr>
          <w:rFonts w:ascii="Microsoft YaHei" w:hAnsi="Microsoft YaHei" w:eastAsia="Microsoft YaHei" w:cs="Microsoft YaHei"/>
          <w:sz w:val="24"/>
          <w:szCs w:val="24"/>
          <w:spacing w:val="-1"/>
        </w:rPr>
        <w:t>嫌违法违规案件线索。</w:t>
      </w:r>
    </w:p>
    <w:sectPr>
      <w:pgSz w:w="11910" w:h="16840"/>
      <w:pgMar w:top="400" w:right="639" w:bottom="0" w:left="440" w:header="0" w:footer="0" w:gutter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altName w:val="SimHei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imHei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86"/>
    <w:family w:val="auto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pStyle w:val="BodyText"/>
      <w:spacing w:line="14" w:lineRule="auto"/>
      <w:rPr>
        <w:sz w:val="2"/>
      </w:rPr>
    </w:pPr>
    <w:r>
      <w:drawing>
        <wp:anchor distT="0" distB="0" distL="0" distR="0" simplePos="0" relativeHeight="251658240" behindDoc="1" locked="0" layoutInCell="0" allowOverlap="1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7499604" cy="7441692"/>
          <wp:effectExtent l="0" t="0" r="0" b="0"/>
          <wp:wrapNone/>
          <wp:docPr id="2" name="IM 2"/>
          <wp:cNvGraphicFramePr/>
          <a:graphic>
            <a:graphicData uri="http://schemas.openxmlformats.org/drawingml/2006/picture">
              <pic:pic>
                <pic:nvPicPr>
                  <pic:cNvPr id="2" name="IM 2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 rot="0">
                    <a:off x="0" y="0"/>
                    <a:ext cx="7499604" cy="744169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/>
  </w:p>
</w:hdr>
</file>

<file path=word/header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pStyle w:val="BodyText"/>
      <w:spacing w:line="14" w:lineRule="auto"/>
      <w:rPr>
        <w:sz w:val="2"/>
      </w:rPr>
    </w:pPr>
    <w:r/>
  </w:p>
</w:hdr>
</file>

<file path=word/settings.xml><?xml version="1.0" encoding="utf-8"?>
<w:settings xmlns:w="http://schemas.openxmlformats.org/wordprocessingml/2006/main">
  <w:displayBackgroundShape/>
  <w:characterSpacingControl w:val="doNotCompress"/>
  <w:compat>
    <w:spaceForUL/>
    <w:ulTrailSpace/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0="urn:schemas-microsoft-com:office:word" xmlns:sl="http://schemas.openxmlformats.org/schemaLibrary/2006/main" xmlns:w14="http://schemas.microsoft.com/office/word/2010/wordml" mc:Ignorable="w14">
  <w:docDefaults>
    <w:rPrDefault>
      <w:rPr>
        <w:rFonts w:ascii="Arial" w:hAnsi="Arial" w:eastAsia="Arial" w:cs="Arial"/>
        <w:sz w:val="21"/>
        <w:szCs w:val="21"/>
        <w:lang w:val="en-US" w:eastAsia="en-US" w:bidi="ar-SA"/>
        <w:color w:val="000000"/>
        <w:kern w:val="0"/>
        <w:snapToGrid w:val="0"/>
      </w:rPr>
    </w:rPrDefault>
  </w:docDefaults>
  <w:style w:type="paragraph" w:styleId="Normal" w:default="1">
    <w:name w:val="Normal"/>
    <w:semiHidden/>
    <w:qFormat/>
    <w:pPr>
      <w:spacing w:line="240" w:lineRule="auto"/>
      <w:jc w:val="left"/>
      <w:autoSpaceDE w:val="0"/>
      <w:autoSpaceDN w:val="0"/>
      <w:adjustRightInd w:val="0"/>
      <w:snapToGrid w:val="0"/>
      <w:kinsoku w:val="0"/>
      <w:textAlignment w:val="baseline"/>
    </w:pPr>
    <w:rPr>
      <w:color w:val="000000"/>
      <w:kern w:val="0"/>
      <w:snapToGrid w:val="0"/>
      <w:noProof w:val="1"/>
    </w:rPr>
  </w:style>
  <w:style w:type="table" w:styleId="TableNormal" w:default="1">
    <w:name w:val="Table Normal"/>
    <w:semiHidden/>
    <w:unhideWhenUsed/>
    <w:qFormat/>
    <w:tblPr>
      <w:tblCellMar>
        <w:left w:w="0" w:type="dxa"/>
        <w:right w:w="0" w:type="dxa"/>
        <w:bottom w:w="0" w:type="dxa"/>
        <w:top w:w="0" w:type="dxa"/>
      </w:tblCellMar>
    </w:tblPr>
  </w:style>
  <w:style w:type="paragraph" w:styleId="BodyText">
    <w:name w:val="Body Text"/>
    <w:basedOn w:val="Normal"/>
    <w:semiHidden/>
    <w:qFormat/>
    <w:pPr/>
    <w:rPr>
      <w:rFonts w:ascii="Arial" w:hAnsi="Arial" w:eastAsia="Arial" w:cs="Arial"/>
      <w:sz w:val="21"/>
      <w:szCs w:val="21"/>
      <w:lang w:val="en-US" w:eastAsia="en-US" w:bidi="ar-SA"/>
    </w:rPr>
  </w:style>
  <w:style w:type="paragraph" w:styleId="TableText">
    <w:name w:val="Table Text"/>
    <w:basedOn w:val="Normal"/>
    <w:semiHidden/>
    <w:qFormat/>
    <w:pPr/>
    <w:rPr>
      <w:rFonts w:ascii="Microsoft YaHei" w:hAnsi="Microsoft YaHei" w:eastAsia="Microsoft YaHei" w:cs="Microsoft YaHei"/>
      <w:sz w:val="20"/>
      <w:szCs w:val="20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8.jpeg"/><Relationship Id="rId8" Type="http://schemas.openxmlformats.org/officeDocument/2006/relationships/image" Target="media/image7.jpeg"/><Relationship Id="rId7" Type="http://schemas.openxmlformats.org/officeDocument/2006/relationships/image" Target="media/image6.jpeg"/><Relationship Id="rId6" Type="http://schemas.openxmlformats.org/officeDocument/2006/relationships/image" Target="media/image5.png"/><Relationship Id="rId5" Type="http://schemas.openxmlformats.org/officeDocument/2006/relationships/image" Target="media/image4.jpeg"/><Relationship Id="rId4" Type="http://schemas.openxmlformats.org/officeDocument/2006/relationships/image" Target="media/image3.jpeg"/><Relationship Id="rId3" Type="http://schemas.openxmlformats.org/officeDocument/2006/relationships/image" Target="media/image2.png"/><Relationship Id="rId2" Type="http://schemas.openxmlformats.org/officeDocument/2006/relationships/header" Target="header2.xml"/><Relationship Id="rId18" Type="http://schemas.openxmlformats.org/officeDocument/2006/relationships/fontTable" Target="fontTable.xml"/><Relationship Id="rId17" Type="http://schemas.openxmlformats.org/officeDocument/2006/relationships/styles" Target="styles.xml"/><Relationship Id="rId16" Type="http://schemas.openxmlformats.org/officeDocument/2006/relationships/settings" Target="settings.xml"/><Relationship Id="rId15" Type="http://schemas.openxmlformats.org/officeDocument/2006/relationships/image" Target="media/image14.jpeg"/><Relationship Id="rId14" Type="http://schemas.openxmlformats.org/officeDocument/2006/relationships/image" Target="media/image13.jpeg"/><Relationship Id="rId13" Type="http://schemas.openxmlformats.org/officeDocument/2006/relationships/image" Target="media/image12.jpeg"/><Relationship Id="rId12" Type="http://schemas.openxmlformats.org/officeDocument/2006/relationships/image" Target="media/image11.jpeg"/><Relationship Id="rId11" Type="http://schemas.openxmlformats.org/officeDocument/2006/relationships/image" Target="media/image10.jpeg"/><Relationship Id="rId10" Type="http://schemas.openxmlformats.org/officeDocument/2006/relationships/image" Target="media/image9.jpeg"/><Relationship Id="rId1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docProps/app.xml><?xml version="1.0" encoding="utf-8"?>
<ap:Properties xmlns:vt="http://schemas.openxmlformats.org/officeDocument/2006/docPropsVTypes" xmlns:ap="http://schemas.openxmlformats.org/officeDocument/2006/extended-properties">
  <ap:Application>WPS 文字</ap:Application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白尚武</dc:creator>
  <dcterms:created xsi:type="dcterms:W3CDTF">2024-07-22T00:12:17Z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wqlLaW5nc29mdCBQREYgdG8gV1BTIDEwMA</vt:lpwstr>
  </property>
  <property fmtid="{D5CDD505-2E9C-101B-9397-08002B2CF9AE}" pid="3" name="Created">
    <vt:filetime>2024-08-05T14:16:42</vt:filetime>
  </property>
</Properties>
</file>