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61" w:lineRule="auto"/>
        <w:rPr/>
      </w:pPr>
      <w:r/>
    </w:p>
    <w:p>
      <w:pPr>
        <w:pStyle w:val="BodyText"/>
        <w:spacing w:line="261" w:lineRule="auto"/>
        <w:rPr/>
      </w:pPr>
      <w:r/>
    </w:p>
    <w:p>
      <w:pPr>
        <w:pStyle w:val="BodyText"/>
        <w:spacing w:line="262" w:lineRule="auto"/>
        <w:rPr/>
      </w:pPr>
      <w:r/>
    </w:p>
    <w:p>
      <w:pPr>
        <w:pStyle w:val="BodyText"/>
        <w:spacing w:line="262" w:lineRule="auto"/>
        <w:rPr/>
      </w:pPr>
      <w:r/>
    </w:p>
    <w:p>
      <w:pPr>
        <w:pStyle w:val="BodyText"/>
        <w:spacing w:line="262" w:lineRule="auto"/>
        <w:rPr/>
      </w:pPr>
      <w:r/>
    </w:p>
    <w:p>
      <w:pPr>
        <w:pStyle w:val="BodyText"/>
        <w:spacing w:line="262" w:lineRule="auto"/>
        <w:rPr/>
      </w:pPr>
      <w:r/>
    </w:p>
    <w:p>
      <w:pPr>
        <w:pStyle w:val="BodyText"/>
        <w:spacing w:line="262" w:lineRule="auto"/>
        <w:rPr/>
      </w:pPr>
      <w:r/>
    </w:p>
    <w:p>
      <w:pPr>
        <w:pStyle w:val="BodyText"/>
        <w:spacing w:line="262" w:lineRule="auto"/>
        <w:rPr/>
      </w:pPr>
      <w:r/>
    </w:p>
    <w:p>
      <w:pPr>
        <w:ind w:left="2592"/>
        <w:spacing w:before="356" w:line="216" w:lineRule="auto"/>
        <w:outlineLvl w:val="0"/>
        <w:rPr>
          <w:rFonts w:ascii="Microsoft YaHei" w:hAnsi="Microsoft YaHei" w:eastAsia="Microsoft YaHei" w:cs="Microsoft YaHei"/>
          <w:sz w:val="83"/>
          <w:szCs w:val="83"/>
        </w:rPr>
      </w:pPr>
      <w:r>
        <w:rPr>
          <w:rFonts w:ascii="Microsoft YaHei" w:hAnsi="Microsoft YaHei" w:eastAsia="Microsoft YaHei" w:cs="Microsoft YaHei"/>
          <w:sz w:val="83"/>
          <w:szCs w:val="83"/>
          <w:b/>
          <w:bCs/>
          <w:color w:val="FFFFFF"/>
          <w:spacing w:val="7"/>
        </w:rPr>
        <w:t>一周法规速递|监管动态</w:t>
      </w:r>
    </w:p>
    <w:p>
      <w:pPr>
        <w:ind w:left="5417"/>
        <w:spacing w:before="7" w:line="183" w:lineRule="auto"/>
        <w:rPr>
          <w:rFonts w:ascii="Microsoft YaHei" w:hAnsi="Microsoft YaHei" w:eastAsia="Microsoft YaHei" w:cs="Microsoft YaHei"/>
          <w:sz w:val="30"/>
          <w:szCs w:val="30"/>
        </w:rPr>
      </w:pPr>
      <w:r>
        <w:rPr>
          <w:rFonts w:ascii="Microsoft YaHei" w:hAnsi="Microsoft YaHei" w:eastAsia="Microsoft YaHei" w:cs="Microsoft YaHei"/>
          <w:sz w:val="30"/>
          <w:szCs w:val="30"/>
          <w:color w:val="FFFFFF"/>
          <w:spacing w:val="-3"/>
        </w:rPr>
        <w:t>2024 年 06 月</w:t>
      </w:r>
      <w:r>
        <w:rPr>
          <w:rFonts w:ascii="Microsoft YaHei" w:hAnsi="Microsoft YaHei" w:eastAsia="Microsoft YaHei" w:cs="Microsoft YaHei"/>
          <w:sz w:val="30"/>
          <w:szCs w:val="30"/>
          <w:color w:val="FFFFFF"/>
          <w:spacing w:val="18"/>
        </w:rPr>
        <w:t xml:space="preserve"> </w:t>
      </w:r>
      <w:r>
        <w:rPr>
          <w:rFonts w:ascii="Microsoft YaHei" w:hAnsi="Microsoft YaHei" w:eastAsia="Microsoft YaHei" w:cs="Microsoft YaHei"/>
          <w:sz w:val="30"/>
          <w:szCs w:val="30"/>
          <w:color w:val="FFFFFF"/>
          <w:spacing w:val="-3"/>
        </w:rPr>
        <w:t>24日—2024 年</w:t>
      </w:r>
      <w:r>
        <w:rPr>
          <w:rFonts w:ascii="Microsoft YaHei" w:hAnsi="Microsoft YaHei" w:eastAsia="Microsoft YaHei" w:cs="Microsoft YaHei"/>
          <w:sz w:val="30"/>
          <w:szCs w:val="30"/>
          <w:color w:val="FFFFFF"/>
          <w:spacing w:val="11"/>
        </w:rPr>
        <w:t xml:space="preserve"> </w:t>
      </w:r>
      <w:r>
        <w:rPr>
          <w:rFonts w:ascii="Microsoft YaHei" w:hAnsi="Microsoft YaHei" w:eastAsia="Microsoft YaHei" w:cs="Microsoft YaHei"/>
          <w:sz w:val="30"/>
          <w:szCs w:val="30"/>
          <w:color w:val="FFFFFF"/>
          <w:spacing w:val="-3"/>
        </w:rPr>
        <w:t>06</w:t>
      </w:r>
      <w:r>
        <w:rPr>
          <w:rFonts w:ascii="Microsoft YaHei" w:hAnsi="Microsoft YaHei" w:eastAsia="Microsoft YaHei" w:cs="Microsoft YaHei"/>
          <w:sz w:val="30"/>
          <w:szCs w:val="30"/>
          <w:color w:val="FFFFFF"/>
          <w:spacing w:val="13"/>
        </w:rPr>
        <w:t xml:space="preserve"> </w:t>
      </w:r>
      <w:r>
        <w:rPr>
          <w:rFonts w:ascii="Microsoft YaHei" w:hAnsi="Microsoft YaHei" w:eastAsia="Microsoft YaHei" w:cs="Microsoft YaHei"/>
          <w:sz w:val="30"/>
          <w:szCs w:val="30"/>
          <w:color w:val="FFFFFF"/>
          <w:spacing w:val="-3"/>
        </w:rPr>
        <w:t>月</w:t>
      </w:r>
      <w:r>
        <w:rPr>
          <w:rFonts w:ascii="Microsoft YaHei" w:hAnsi="Microsoft YaHei" w:eastAsia="Microsoft YaHei" w:cs="Microsoft YaHei"/>
          <w:sz w:val="30"/>
          <w:szCs w:val="30"/>
          <w:color w:val="FFFFFF"/>
          <w:spacing w:val="21"/>
        </w:rPr>
        <w:t xml:space="preserve"> </w:t>
      </w:r>
      <w:r>
        <w:rPr>
          <w:rFonts w:ascii="Microsoft YaHei" w:hAnsi="Microsoft YaHei" w:eastAsia="Microsoft YaHei" w:cs="Microsoft YaHei"/>
          <w:sz w:val="30"/>
          <w:szCs w:val="30"/>
          <w:color w:val="FFFFFF"/>
          <w:spacing w:val="-3"/>
        </w:rPr>
        <w:t>30日</w:t>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ind w:left="4586" w:right="3636" w:hanging="886"/>
        <w:spacing w:before="133" w:line="195" w:lineRule="auto"/>
        <w:rPr>
          <w:rFonts w:ascii="Microsoft YaHei" w:hAnsi="Microsoft YaHei" w:eastAsia="Microsoft YaHei" w:cs="Microsoft YaHei"/>
          <w:sz w:val="31"/>
          <w:szCs w:val="31"/>
        </w:rPr>
      </w:pPr>
      <w:r>
        <w:rPr>
          <w:rFonts w:ascii="Microsoft YaHei" w:hAnsi="Microsoft YaHei" w:eastAsia="Microsoft YaHei" w:cs="Microsoft YaHei"/>
          <w:sz w:val="31"/>
          <w:szCs w:val="31"/>
          <w:b/>
          <w:bCs/>
          <w:spacing w:val="9"/>
        </w:rPr>
        <w:t>深圳价值在线咨询顾问有限公司</w:t>
      </w:r>
      <w:r>
        <w:rPr>
          <w:rFonts w:ascii="Microsoft YaHei" w:hAnsi="Microsoft YaHei" w:eastAsia="Microsoft YaHei" w:cs="Microsoft YaHei"/>
          <w:sz w:val="31"/>
          <w:szCs w:val="31"/>
          <w:b/>
          <w:bCs/>
          <w:spacing w:val="6"/>
        </w:rPr>
        <w:t xml:space="preserve"> </w:t>
      </w:r>
      <w:r>
        <w:rPr>
          <w:rFonts w:ascii="Microsoft YaHei" w:hAnsi="Microsoft YaHei" w:eastAsia="Microsoft YaHei" w:cs="Microsoft YaHei"/>
          <w:sz w:val="31"/>
          <w:szCs w:val="31"/>
          <w:b/>
          <w:bCs/>
          <w:spacing w:val="1"/>
        </w:rPr>
        <w:t>2024 年</w:t>
      </w:r>
      <w:r>
        <w:rPr>
          <w:rFonts w:ascii="Microsoft YaHei" w:hAnsi="Microsoft YaHei" w:eastAsia="Microsoft YaHei" w:cs="Microsoft YaHei"/>
          <w:sz w:val="31"/>
          <w:szCs w:val="31"/>
          <w:b/>
          <w:bCs/>
          <w:spacing w:val="17"/>
        </w:rPr>
        <w:t xml:space="preserve"> </w:t>
      </w:r>
      <w:r>
        <w:rPr>
          <w:rFonts w:ascii="Microsoft YaHei" w:hAnsi="Microsoft YaHei" w:eastAsia="Microsoft YaHei" w:cs="Microsoft YaHei"/>
          <w:sz w:val="31"/>
          <w:szCs w:val="31"/>
          <w:b/>
          <w:bCs/>
          <w:spacing w:val="1"/>
        </w:rPr>
        <w:t>07</w:t>
      </w:r>
      <w:r>
        <w:rPr>
          <w:rFonts w:ascii="Microsoft YaHei" w:hAnsi="Microsoft YaHei" w:eastAsia="Microsoft YaHei" w:cs="Microsoft YaHei"/>
          <w:sz w:val="31"/>
          <w:szCs w:val="31"/>
          <w:b/>
          <w:bCs/>
          <w:spacing w:val="17"/>
        </w:rPr>
        <w:t xml:space="preserve"> </w:t>
      </w:r>
      <w:r>
        <w:rPr>
          <w:rFonts w:ascii="Microsoft YaHei" w:hAnsi="Microsoft YaHei" w:eastAsia="Microsoft YaHei" w:cs="Microsoft YaHei"/>
          <w:sz w:val="31"/>
          <w:szCs w:val="31"/>
          <w:b/>
          <w:bCs/>
          <w:spacing w:val="1"/>
        </w:rPr>
        <w:t>月</w:t>
      </w:r>
      <w:r>
        <w:rPr>
          <w:rFonts w:ascii="Microsoft YaHei" w:hAnsi="Microsoft YaHei" w:eastAsia="Microsoft YaHei" w:cs="Microsoft YaHei"/>
          <w:sz w:val="31"/>
          <w:szCs w:val="31"/>
          <w:b/>
          <w:bCs/>
          <w:spacing w:val="14"/>
        </w:rPr>
        <w:t xml:space="preserve"> </w:t>
      </w:r>
      <w:r>
        <w:rPr>
          <w:rFonts w:ascii="Microsoft YaHei" w:hAnsi="Microsoft YaHei" w:eastAsia="Microsoft YaHei" w:cs="Microsoft YaHei"/>
          <w:sz w:val="31"/>
          <w:szCs w:val="31"/>
          <w:b/>
          <w:bCs/>
          <w:spacing w:val="1"/>
        </w:rPr>
        <w:t>01</w:t>
      </w:r>
      <w:r>
        <w:rPr>
          <w:rFonts w:ascii="Microsoft YaHei" w:hAnsi="Microsoft YaHei" w:eastAsia="Microsoft YaHei" w:cs="Microsoft YaHei"/>
          <w:sz w:val="31"/>
          <w:szCs w:val="31"/>
          <w:b/>
          <w:bCs/>
          <w:spacing w:val="43"/>
        </w:rPr>
        <w:t xml:space="preserve"> </w:t>
      </w:r>
      <w:r>
        <w:rPr>
          <w:rFonts w:ascii="Microsoft YaHei" w:hAnsi="Microsoft YaHei" w:eastAsia="Microsoft YaHei" w:cs="Microsoft YaHei"/>
          <w:sz w:val="31"/>
          <w:szCs w:val="31"/>
          <w:b/>
          <w:bCs/>
          <w:spacing w:val="1"/>
        </w:rPr>
        <w:t>日</w:t>
      </w:r>
    </w:p>
    <w:p>
      <w:pPr>
        <w:spacing w:line="195" w:lineRule="auto"/>
        <w:sectPr>
          <w:headerReference w:type="default" r:id="rId1"/>
          <w:pgSz w:w="11910" w:h="16840"/>
          <w:pgMar w:top="400" w:right="99" w:bottom="0" w:left="0" w:header="0" w:footer="0" w:gutter="0"/>
        </w:sectPr>
        <w:rPr>
          <w:rFonts w:ascii="Microsoft YaHei" w:hAnsi="Microsoft YaHei" w:eastAsia="Microsoft YaHei" w:cs="Microsoft YaHei"/>
          <w:sz w:val="31"/>
          <w:szCs w:val="31"/>
        </w:rPr>
      </w:pPr>
    </w:p>
    <w:p>
      <w:pPr>
        <w:rPr>
          <w:rFonts w:ascii="Microsoft YaHei" w:hAnsi="Microsoft YaHei" w:eastAsia="Microsoft YaHei" w:cs="Microsoft YaHei"/>
          <w:sz w:val="43"/>
          <w:szCs w:val="43"/>
        </w:rPr>
      </w:pPr>
      <w:r>
        <w:pict>
          <v:rect id="_x0000_s2" style="position:absolute;margin-left:63.25pt;margin-top:45.673pt;mso-position-vertical-relative:text;mso-position-horizontal-relative:text;width:525.55pt;height:2.75pt;z-index:251659264;" fillcolor="#A61C1F" filled="true" stroked="false"/>
        </w:pict>
      </w:r>
      <w:r>
        <w:pict>
          <v:shape id="_x0000_s4" style="position:absolute;margin-left:28.275pt;margin-top:35.406pt;mso-position-vertical-relative:text;mso-position-horizontal-relative:text;width:4.4pt;height:5pt;z-index:-251658240;" fillcolor="#FFFFFF" filled="true" stroked="false" coordsize="88,100" coordorigin="0,0" path="m44,99m44,99l27,94l12,84l3,68l0,48l3,29l12,15l27,3l44,0l58,3l72,15l82,29l87,48l82,68l72,84l58,94l44,99e"/>
        </w:pict>
      </w:r>
      <w:r>
        <w:rPr>
          <w:rFonts w:ascii="Microsoft YaHei" w:hAnsi="Microsoft YaHei" w:eastAsia="Microsoft YaHei" w:cs="Microsoft YaHei"/>
          <w:sz w:val="43"/>
          <w:szCs w:val="43"/>
          <w:position w:val="-39"/>
        </w:rPr>
        <w:drawing>
          <wp:inline distT="0" distB="0" distL="0" distR="0">
            <wp:extent cx="803148" cy="623964"/>
            <wp:effectExtent l="0" t="0" r="0" b="0"/>
            <wp:docPr id="4" name="IM 4"/>
            <wp:cNvGraphicFramePr/>
            <a:graphic>
              <a:graphicData uri="http://schemas.openxmlformats.org/drawingml/2006/picture">
                <pic:pic>
                  <pic:nvPicPr>
                    <pic:cNvPr id="4" name="IM 4"/>
                    <pic:cNvPicPr/>
                  </pic:nvPicPr>
                  <pic:blipFill>
                    <a:blip r:embed="rId3"/>
                    <a:stretch>
                      <a:fillRect/>
                    </a:stretch>
                  </pic:blipFill>
                  <pic:spPr>
                    <a:xfrm rot="0">
                      <a:off x="0" y="0"/>
                      <a:ext cx="803148" cy="623964"/>
                    </a:xfrm>
                    <a:prstGeom prst="rect">
                      <a:avLst/>
                    </a:prstGeom>
                  </pic:spPr>
                </pic:pic>
              </a:graphicData>
            </a:graphic>
          </wp:inline>
        </w:drawing>
      </w:r>
      <w:r>
        <w:rPr>
          <w:rFonts w:ascii="Microsoft YaHei" w:hAnsi="Microsoft YaHei" w:eastAsia="Microsoft YaHei" w:cs="Microsoft YaHei"/>
          <w:sz w:val="43"/>
          <w:szCs w:val="43"/>
          <w:spacing w:val="15"/>
        </w:rPr>
        <w:t xml:space="preserve">   </w:t>
      </w:r>
      <w:r>
        <w:rPr>
          <w:rFonts w:ascii="Microsoft YaHei" w:hAnsi="Microsoft YaHei" w:eastAsia="Microsoft YaHei" w:cs="Microsoft YaHei"/>
          <w:sz w:val="43"/>
          <w:szCs w:val="43"/>
          <w:spacing w:val="8"/>
        </w:rPr>
        <w:t>法规速递</w:t>
      </w:r>
    </w:p>
    <w:p>
      <w:pPr>
        <w:pStyle w:val="BodyText"/>
        <w:spacing w:line="351" w:lineRule="auto"/>
        <w:rPr/>
      </w:pPr>
      <w:r/>
    </w:p>
    <w:p>
      <w:pPr>
        <w:pStyle w:val="BodyText"/>
        <w:spacing w:line="352" w:lineRule="auto"/>
        <w:rPr/>
      </w:pPr>
      <w:r/>
    </w:p>
    <w:p>
      <w:pPr>
        <w:ind w:left="660" w:right="651" w:firstLine="300"/>
        <w:spacing w:before="120" w:line="281" w:lineRule="auto"/>
        <w:outlineLvl w:val="0"/>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0B0B0B"/>
          <w:spacing w:val="-3"/>
        </w:rPr>
        <w:t>1、深圳证券交易所公司债券发行上市审核业务指南第1号——募集说明书</w:t>
      </w:r>
      <w:r>
        <w:rPr>
          <w:rFonts w:ascii="Microsoft YaHei" w:hAnsi="Microsoft YaHei" w:eastAsia="Microsoft YaHei" w:cs="Microsoft YaHei"/>
          <w:sz w:val="28"/>
          <w:szCs w:val="28"/>
          <w:b/>
          <w:bCs/>
          <w:color w:val="0B0B0B"/>
          <w:spacing w:val="-2"/>
        </w:rPr>
        <w:t xml:space="preserve"> </w:t>
      </w:r>
      <w:r>
        <w:rPr>
          <w:rFonts w:ascii="Microsoft YaHei" w:hAnsi="Microsoft YaHei" w:eastAsia="Microsoft YaHei" w:cs="Microsoft YaHei"/>
          <w:sz w:val="28"/>
          <w:szCs w:val="28"/>
          <w:b/>
          <w:bCs/>
          <w:color w:val="0B0B0B"/>
          <w:spacing w:val="-3"/>
        </w:rPr>
        <w:t>（参考文</w:t>
      </w:r>
      <w:r>
        <w:rPr>
          <w:rFonts w:ascii="Microsoft YaHei" w:hAnsi="Microsoft YaHei" w:eastAsia="Microsoft YaHei" w:cs="Microsoft YaHei"/>
          <w:sz w:val="28"/>
          <w:szCs w:val="28"/>
          <w:b/>
          <w:bCs/>
          <w:color w:val="0B0B0B"/>
        </w:rPr>
        <w:t xml:space="preserve"> </w:t>
      </w:r>
      <w:r>
        <w:rPr>
          <w:rFonts w:ascii="Microsoft YaHei" w:hAnsi="Microsoft YaHei" w:eastAsia="Microsoft YaHei" w:cs="Microsoft YaHei"/>
          <w:sz w:val="28"/>
          <w:szCs w:val="28"/>
          <w:b/>
          <w:bCs/>
          <w:color w:val="0B0B0B"/>
          <w:spacing w:val="-2"/>
        </w:rPr>
        <w:t>本</w:t>
      </w:r>
      <w:r>
        <w:rPr>
          <w:rFonts w:ascii="Microsoft YaHei" w:hAnsi="Microsoft YaHei" w:eastAsia="Microsoft YaHei" w:cs="Microsoft YaHei"/>
          <w:sz w:val="28"/>
          <w:szCs w:val="28"/>
          <w:b/>
          <w:bCs/>
          <w:color w:val="0B0B0B"/>
          <w:spacing w:val="-63"/>
        </w:rPr>
        <w:t>）</w:t>
      </w:r>
      <w:r>
        <w:rPr>
          <w:rFonts w:ascii="Microsoft YaHei" w:hAnsi="Microsoft YaHei" w:eastAsia="Microsoft YaHei" w:cs="Microsoft YaHei"/>
          <w:sz w:val="28"/>
          <w:szCs w:val="28"/>
          <w:b/>
          <w:bCs/>
          <w:color w:val="0B0B0B"/>
          <w:spacing w:val="56"/>
          <w:w w:val="101"/>
        </w:rPr>
        <w:t xml:space="preserve"> </w:t>
      </w:r>
      <w:r>
        <w:rPr>
          <w:rFonts w:ascii="Microsoft YaHei" w:hAnsi="Microsoft YaHei" w:eastAsia="Microsoft YaHei" w:cs="Microsoft YaHei"/>
          <w:sz w:val="28"/>
          <w:szCs w:val="28"/>
          <w:b/>
          <w:bCs/>
          <w:color w:val="0B0B0B"/>
          <w:spacing w:val="-63"/>
        </w:rPr>
        <w:t>（</w:t>
      </w:r>
      <w:r>
        <w:rPr>
          <w:rFonts w:ascii="Microsoft YaHei" w:hAnsi="Microsoft YaHei" w:eastAsia="Microsoft YaHei" w:cs="Microsoft YaHei"/>
          <w:sz w:val="28"/>
          <w:szCs w:val="28"/>
          <w:b/>
          <w:bCs/>
          <w:color w:val="0B0B0B"/>
          <w:spacing w:val="-2"/>
        </w:rPr>
        <w:t>2024年修订）</w:t>
      </w:r>
    </w:p>
    <w:p>
      <w:pPr>
        <w:pStyle w:val="BodyText"/>
        <w:spacing w:line="388" w:lineRule="auto"/>
        <w:rPr/>
      </w:pPr>
      <w:r/>
    </w:p>
    <w:p>
      <w:pPr>
        <w:ind w:left="663" w:right="532" w:firstLine="484"/>
        <w:spacing w:before="103" w:line="326"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5"/>
        </w:rPr>
        <w:t>为了进一步规范公司债券 （含企业债券） 信息披露文件编制， 提升公司</w:t>
      </w:r>
      <w:r>
        <w:rPr>
          <w:rFonts w:ascii="Microsoft YaHei" w:hAnsi="Microsoft YaHei" w:eastAsia="Microsoft YaHei" w:cs="Microsoft YaHei"/>
          <w:sz w:val="24"/>
          <w:szCs w:val="24"/>
          <w:color w:val="0B0B0B"/>
          <w:spacing w:val="-6"/>
        </w:rPr>
        <w:t>债券发行上市审核效率</w:t>
      </w:r>
      <w:r>
        <w:rPr>
          <w:rFonts w:ascii="Microsoft YaHei" w:hAnsi="Microsoft YaHei" w:eastAsia="Microsoft YaHei" w:cs="Microsoft YaHei"/>
          <w:sz w:val="24"/>
          <w:szCs w:val="24"/>
          <w:color w:val="0B0B0B"/>
          <w:spacing w:val="-35"/>
        </w:rPr>
        <w:t xml:space="preserve"> </w:t>
      </w:r>
      <w:r>
        <w:rPr>
          <w:rFonts w:ascii="Microsoft YaHei" w:hAnsi="Microsoft YaHei" w:eastAsia="Microsoft YaHei" w:cs="Microsoft YaHei"/>
          <w:sz w:val="24"/>
          <w:szCs w:val="24"/>
          <w:color w:val="0B0B0B"/>
          <w:spacing w:val="-6"/>
        </w:rPr>
        <w:t>，</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2"/>
        </w:rPr>
        <w:t>本所对《深圳证券交易所公司债券发行上市审核业务指南第1号——募集说明书 （参考文本</w:t>
      </w:r>
      <w:r>
        <w:rPr>
          <w:rFonts w:ascii="Microsoft YaHei" w:hAnsi="Microsoft YaHei" w:eastAsia="Microsoft YaHei" w:cs="Microsoft YaHei"/>
          <w:sz w:val="24"/>
          <w:szCs w:val="24"/>
          <w:color w:val="0B0B0B"/>
          <w:spacing w:val="-53"/>
        </w:rPr>
        <w:t>）</w:t>
      </w:r>
      <w:r>
        <w:rPr>
          <w:rFonts w:ascii="Microsoft YaHei" w:hAnsi="Microsoft YaHei" w:eastAsia="Microsoft YaHei" w:cs="Microsoft YaHei"/>
          <w:sz w:val="24"/>
          <w:szCs w:val="24"/>
          <w:color w:val="0B0B0B"/>
          <w:spacing w:val="49"/>
          <w:w w:val="101"/>
        </w:rPr>
        <w:t xml:space="preserve"> </w:t>
      </w:r>
      <w:r>
        <w:rPr>
          <w:rFonts w:ascii="Microsoft YaHei" w:hAnsi="Microsoft YaHei" w:eastAsia="Microsoft YaHei" w:cs="Microsoft YaHei"/>
          <w:sz w:val="24"/>
          <w:szCs w:val="24"/>
          <w:color w:val="0B0B0B"/>
          <w:spacing w:val="-53"/>
        </w:rPr>
        <w:t>（</w:t>
      </w:r>
      <w:r>
        <w:rPr>
          <w:rFonts w:ascii="Microsoft YaHei" w:hAnsi="Microsoft YaHei" w:eastAsia="Microsoft YaHei" w:cs="Microsoft YaHei"/>
          <w:sz w:val="24"/>
          <w:szCs w:val="24"/>
          <w:color w:val="0B0B0B"/>
          <w:spacing w:val="-2"/>
        </w:rPr>
        <w:t>2023</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9"/>
        </w:rPr>
        <w:t>年修订） 》进行了修订， 现予以发布，</w:t>
      </w:r>
      <w:r>
        <w:rPr>
          <w:rFonts w:ascii="Microsoft YaHei" w:hAnsi="Microsoft YaHei" w:eastAsia="Microsoft YaHei" w:cs="Microsoft YaHei"/>
          <w:sz w:val="24"/>
          <w:szCs w:val="24"/>
          <w:color w:val="0B0B0B"/>
          <w:spacing w:val="34"/>
        </w:rPr>
        <w:t xml:space="preserve"> </w:t>
      </w:r>
      <w:r>
        <w:rPr>
          <w:rFonts w:ascii="Microsoft YaHei" w:hAnsi="Microsoft YaHei" w:eastAsia="Microsoft YaHei" w:cs="Microsoft YaHei"/>
          <w:sz w:val="24"/>
          <w:szCs w:val="24"/>
          <w:color w:val="0B0B0B"/>
          <w:spacing w:val="-9"/>
        </w:rPr>
        <w:t>自发布之日起施行。</w:t>
      </w:r>
    </w:p>
    <w:p>
      <w:pPr>
        <w:ind w:left="664" w:right="631" w:firstLine="479"/>
        <w:spacing w:before="310" w:line="32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rPr>
        <w:t>深圳证券交易所于2023年3月20日发布的《深圳证券交易所公司债券发行上市审</w:t>
      </w:r>
      <w:r>
        <w:rPr>
          <w:rFonts w:ascii="Microsoft YaHei" w:hAnsi="Microsoft YaHei" w:eastAsia="Microsoft YaHei" w:cs="Microsoft YaHei"/>
          <w:sz w:val="24"/>
          <w:szCs w:val="24"/>
          <w:color w:val="0B0B0B"/>
          <w:spacing w:val="-1"/>
        </w:rPr>
        <w:t>核业务指南第1</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7"/>
        </w:rPr>
        <w:t>号——募集说明书 （参考文本</w:t>
      </w:r>
      <w:r>
        <w:rPr>
          <w:rFonts w:ascii="Microsoft YaHei" w:hAnsi="Microsoft YaHei" w:eastAsia="Microsoft YaHei" w:cs="Microsoft YaHei"/>
          <w:sz w:val="24"/>
          <w:szCs w:val="24"/>
          <w:color w:val="0B0B0B"/>
          <w:spacing w:val="-53"/>
        </w:rPr>
        <w:t>）</w:t>
      </w:r>
      <w:r>
        <w:rPr>
          <w:rFonts w:ascii="Microsoft YaHei" w:hAnsi="Microsoft YaHei" w:eastAsia="Microsoft YaHei" w:cs="Microsoft YaHei"/>
          <w:sz w:val="24"/>
          <w:szCs w:val="24"/>
          <w:color w:val="0B0B0B"/>
          <w:spacing w:val="49"/>
        </w:rPr>
        <w:t xml:space="preserve"> </w:t>
      </w:r>
      <w:r>
        <w:rPr>
          <w:rFonts w:ascii="Microsoft YaHei" w:hAnsi="Microsoft YaHei" w:eastAsia="Microsoft YaHei" w:cs="Microsoft YaHei"/>
          <w:sz w:val="24"/>
          <w:szCs w:val="24"/>
          <w:color w:val="0B0B0B"/>
          <w:spacing w:val="-53"/>
        </w:rPr>
        <w:t>（</w:t>
      </w:r>
      <w:r>
        <w:rPr>
          <w:rFonts w:ascii="Microsoft YaHei" w:hAnsi="Microsoft YaHei" w:eastAsia="Microsoft YaHei" w:cs="Microsoft YaHei"/>
          <w:sz w:val="24"/>
          <w:szCs w:val="24"/>
          <w:color w:val="0B0B0B"/>
          <w:spacing w:val="-7"/>
        </w:rPr>
        <w:t>2023年修订） 》 （深</w:t>
      </w:r>
      <w:r>
        <w:rPr>
          <w:rFonts w:ascii="Microsoft YaHei" w:hAnsi="Microsoft YaHei" w:eastAsia="Microsoft YaHei" w:cs="Microsoft YaHei"/>
          <w:sz w:val="24"/>
          <w:szCs w:val="24"/>
          <w:color w:val="0B0B0B"/>
          <w:spacing w:val="-8"/>
        </w:rPr>
        <w:t>证上〔</w:t>
      </w:r>
      <w:r>
        <w:rPr>
          <w:rFonts w:ascii="Microsoft YaHei" w:hAnsi="Microsoft YaHei" w:eastAsia="Microsoft YaHei" w:cs="Microsoft YaHei"/>
          <w:sz w:val="24"/>
          <w:szCs w:val="24"/>
          <w:color w:val="0B0B0B"/>
          <w:spacing w:val="-34"/>
        </w:rPr>
        <w:t xml:space="preserve"> </w:t>
      </w:r>
      <w:r>
        <w:rPr>
          <w:rFonts w:ascii="Microsoft YaHei" w:hAnsi="Microsoft YaHei" w:eastAsia="Microsoft YaHei" w:cs="Microsoft YaHei"/>
          <w:sz w:val="24"/>
          <w:szCs w:val="24"/>
          <w:color w:val="0B0B0B"/>
          <w:spacing w:val="-8"/>
        </w:rPr>
        <w:t>2023〕205号） 同时废止。</w:t>
      </w:r>
    </w:p>
    <w:p>
      <w:pPr>
        <w:pStyle w:val="BodyText"/>
        <w:spacing w:line="248" w:lineRule="auto"/>
        <w:rPr/>
      </w:pPr>
      <w:r/>
    </w:p>
    <w:p>
      <w:pPr>
        <w:ind w:left="9716"/>
        <w:spacing w:before="102"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1"/>
        </w:rPr>
        <w:t>深圳证券交易所</w:t>
      </w:r>
    </w:p>
    <w:p>
      <w:pPr>
        <w:pStyle w:val="BodyText"/>
        <w:spacing w:line="427" w:lineRule="auto"/>
        <w:rPr/>
      </w:pPr>
      <w:r/>
    </w:p>
    <w:p>
      <w:pPr>
        <w:ind w:left="9702"/>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2"/>
        </w:rPr>
        <w:t>2024年6月28日</w:t>
      </w:r>
    </w:p>
    <w:p>
      <w:pPr>
        <w:pStyle w:val="BodyText"/>
        <w:spacing w:line="431" w:lineRule="auto"/>
        <w:rPr/>
      </w:pPr>
      <w:r/>
    </w:p>
    <w:p>
      <w:pPr>
        <w:ind w:firstLine="4579"/>
        <w:spacing w:line="2700" w:lineRule="exact"/>
        <w:rPr/>
      </w:pPr>
      <w:r>
        <w:rPr>
          <w:position w:val="-54"/>
        </w:rPr>
        <w:drawing>
          <wp:inline distT="0" distB="0" distL="0" distR="0">
            <wp:extent cx="1714500" cy="1714500"/>
            <wp:effectExtent l="0" t="0" r="0" b="0"/>
            <wp:docPr id="6" name="IM 6"/>
            <wp:cNvGraphicFramePr/>
            <a:graphic>
              <a:graphicData uri="http://schemas.openxmlformats.org/drawingml/2006/picture">
                <pic:pic>
                  <pic:nvPicPr>
                    <pic:cNvPr id="6" name="IM 6"/>
                    <pic:cNvPicPr/>
                  </pic:nvPicPr>
                  <pic:blipFill>
                    <a:blip r:embed="rId4"/>
                    <a:stretch>
                      <a:fillRect/>
                    </a:stretch>
                  </pic:blipFill>
                  <pic:spPr>
                    <a:xfrm rot="0">
                      <a:off x="0" y="0"/>
                      <a:ext cx="1714500" cy="1714500"/>
                    </a:xfrm>
                    <a:prstGeom prst="rect">
                      <a:avLst/>
                    </a:prstGeom>
                  </pic:spPr>
                </pic:pic>
              </a:graphicData>
            </a:graphic>
          </wp:inline>
        </w:drawing>
      </w:r>
    </w:p>
    <w:p>
      <w:pPr>
        <w:pStyle w:val="BodyText"/>
        <w:spacing w:line="270" w:lineRule="auto"/>
        <w:rPr/>
      </w:pPr>
      <w:r/>
    </w:p>
    <w:p>
      <w:pPr>
        <w:pStyle w:val="BodyText"/>
        <w:spacing w:line="270" w:lineRule="auto"/>
        <w:rPr/>
      </w:pPr>
      <w:r/>
    </w:p>
    <w:p>
      <w:pPr>
        <w:pStyle w:val="BodyText"/>
        <w:spacing w:line="270" w:lineRule="auto"/>
        <w:rPr/>
      </w:pPr>
      <w:r/>
    </w:p>
    <w:p>
      <w:pPr>
        <w:ind w:left="869"/>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0B0B0B"/>
          <w:spacing w:val="-2"/>
        </w:rPr>
        <w:t>深圳证券交易所公司债券发行上市审核业务指南第1号——募集说明书 （参考文本</w:t>
      </w:r>
      <w:r>
        <w:rPr>
          <w:rFonts w:ascii="Microsoft YaHei" w:hAnsi="Microsoft YaHei" w:eastAsia="Microsoft YaHei" w:cs="Microsoft YaHei"/>
          <w:sz w:val="24"/>
          <w:szCs w:val="24"/>
          <w:b/>
          <w:bCs/>
          <w:color w:val="0B0B0B"/>
          <w:spacing w:val="-54"/>
        </w:rPr>
        <w:t>）</w:t>
      </w:r>
      <w:r>
        <w:rPr>
          <w:rFonts w:ascii="Microsoft YaHei" w:hAnsi="Microsoft YaHei" w:eastAsia="Microsoft YaHei" w:cs="Microsoft YaHei"/>
          <w:sz w:val="24"/>
          <w:szCs w:val="24"/>
          <w:b/>
          <w:bCs/>
          <w:color w:val="0B0B0B"/>
          <w:spacing w:val="50"/>
        </w:rPr>
        <w:t xml:space="preserve"> </w:t>
      </w:r>
      <w:r>
        <w:rPr>
          <w:rFonts w:ascii="Microsoft YaHei" w:hAnsi="Microsoft YaHei" w:eastAsia="Microsoft YaHei" w:cs="Microsoft YaHei"/>
          <w:sz w:val="24"/>
          <w:szCs w:val="24"/>
          <w:b/>
          <w:bCs/>
          <w:color w:val="0B0B0B"/>
          <w:spacing w:val="-54"/>
        </w:rPr>
        <w:t>（</w:t>
      </w:r>
      <w:r>
        <w:rPr>
          <w:rFonts w:ascii="Microsoft YaHei" w:hAnsi="Microsoft YaHei" w:eastAsia="Microsoft YaHei" w:cs="Microsoft YaHei"/>
          <w:sz w:val="24"/>
          <w:szCs w:val="24"/>
          <w:b/>
          <w:bCs/>
          <w:color w:val="0B0B0B"/>
          <w:spacing w:val="-2"/>
        </w:rPr>
        <w:t>2024年修订）</w:t>
      </w:r>
    </w:p>
    <w:p>
      <w:pPr>
        <w:spacing w:line="225" w:lineRule="auto"/>
        <w:sectPr>
          <w:headerReference w:type="default" r:id="rId2"/>
          <w:pgSz w:w="11910" w:h="16840"/>
          <w:pgMar w:top="1" w:right="134" w:bottom="0" w:left="0" w:header="0" w:footer="0" w:gutter="0"/>
        </w:sectPr>
        <w:rPr>
          <w:rFonts w:ascii="Microsoft YaHei" w:hAnsi="Microsoft YaHei" w:eastAsia="Microsoft YaHei" w:cs="Microsoft YaHei"/>
          <w:sz w:val="24"/>
          <w:szCs w:val="24"/>
        </w:rPr>
      </w:pPr>
    </w:p>
    <w:p>
      <w:pPr>
        <w:rPr>
          <w:rFonts w:ascii="Microsoft YaHei" w:hAnsi="Microsoft YaHei" w:eastAsia="Microsoft YaHei" w:cs="Microsoft YaHei"/>
          <w:sz w:val="43"/>
          <w:szCs w:val="43"/>
        </w:rPr>
      </w:pPr>
      <w:r>
        <w:drawing>
          <wp:anchor distT="0" distB="0" distL="0" distR="0" simplePos="0" relativeHeight="251660288" behindDoc="1" locked="0" layoutInCell="1" allowOverlap="1">
            <wp:simplePos x="0" y="0"/>
            <wp:positionH relativeFrom="column">
              <wp:posOffset>803275</wp:posOffset>
            </wp:positionH>
            <wp:positionV relativeFrom="paragraph">
              <wp:posOffset>580047</wp:posOffset>
            </wp:positionV>
            <wp:extent cx="6674484" cy="34493"/>
            <wp:effectExtent l="0" t="0" r="0" b="0"/>
            <wp:wrapNone/>
            <wp:docPr id="8" name="IM 8"/>
            <wp:cNvGraphicFramePr/>
            <a:graphic>
              <a:graphicData uri="http://schemas.openxmlformats.org/drawingml/2006/picture">
                <pic:pic>
                  <pic:nvPicPr>
                    <pic:cNvPr id="8" name="IM 8"/>
                    <pic:cNvPicPr/>
                  </pic:nvPicPr>
                  <pic:blipFill>
                    <a:blip r:embed="rId5"/>
                    <a:stretch>
                      <a:fillRect/>
                    </a:stretch>
                  </pic:blipFill>
                  <pic:spPr>
                    <a:xfrm rot="0">
                      <a:off x="0" y="0"/>
                      <a:ext cx="6674484" cy="34493"/>
                    </a:xfrm>
                    <a:prstGeom prst="rect">
                      <a:avLst/>
                    </a:prstGeom>
                  </pic:spPr>
                </pic:pic>
              </a:graphicData>
            </a:graphic>
          </wp:anchor>
        </w:drawing>
      </w:r>
      <w:r>
        <w:rPr>
          <w:rFonts w:ascii="Microsoft YaHei" w:hAnsi="Microsoft YaHei" w:eastAsia="Microsoft YaHei" w:cs="Microsoft YaHei"/>
          <w:sz w:val="43"/>
          <w:szCs w:val="43"/>
          <w:position w:val="-39"/>
        </w:rPr>
        <w:drawing>
          <wp:inline distT="0" distB="0" distL="0" distR="0">
            <wp:extent cx="803148" cy="623964"/>
            <wp:effectExtent l="0" t="0" r="0" b="0"/>
            <wp:docPr id="10" name="IM 10"/>
            <wp:cNvGraphicFramePr/>
            <a:graphic>
              <a:graphicData uri="http://schemas.openxmlformats.org/drawingml/2006/picture">
                <pic:pic>
                  <pic:nvPicPr>
                    <pic:cNvPr id="10" name="IM 10"/>
                    <pic:cNvPicPr/>
                  </pic:nvPicPr>
                  <pic:blipFill>
                    <a:blip r:embed="rId6"/>
                    <a:stretch>
                      <a:fillRect/>
                    </a:stretch>
                  </pic:blipFill>
                  <pic:spPr>
                    <a:xfrm rot="0">
                      <a:off x="0" y="0"/>
                      <a:ext cx="803148" cy="623964"/>
                    </a:xfrm>
                    <a:prstGeom prst="rect">
                      <a:avLst/>
                    </a:prstGeom>
                  </pic:spPr>
                </pic:pic>
              </a:graphicData>
            </a:graphic>
          </wp:inline>
        </w:drawing>
      </w:r>
      <w:r>
        <w:rPr>
          <w:rFonts w:ascii="Microsoft YaHei" w:hAnsi="Microsoft YaHei" w:eastAsia="Microsoft YaHei" w:cs="Microsoft YaHei"/>
          <w:sz w:val="43"/>
          <w:szCs w:val="43"/>
          <w:spacing w:val="15"/>
        </w:rPr>
        <w:t xml:space="preserve">   </w:t>
      </w:r>
      <w:r>
        <w:rPr>
          <w:rFonts w:ascii="Microsoft YaHei" w:hAnsi="Microsoft YaHei" w:eastAsia="Microsoft YaHei" w:cs="Microsoft YaHei"/>
          <w:sz w:val="43"/>
          <w:szCs w:val="43"/>
          <w:spacing w:val="8"/>
        </w:rPr>
        <w:t>法规速递</w:t>
      </w:r>
    </w:p>
    <w:p>
      <w:pPr>
        <w:pStyle w:val="BodyText"/>
        <w:spacing w:line="329" w:lineRule="auto"/>
        <w:rPr/>
      </w:pPr>
      <w:r/>
    </w:p>
    <w:p>
      <w:pPr>
        <w:pStyle w:val="BodyText"/>
        <w:spacing w:line="330" w:lineRule="auto"/>
        <w:rPr/>
      </w:pPr>
      <w:r/>
    </w:p>
    <w:p>
      <w:pPr>
        <w:ind w:left="1233"/>
        <w:spacing w:before="120" w:line="183" w:lineRule="auto"/>
        <w:outlineLvl w:val="0"/>
        <w:rPr>
          <w:rFonts w:ascii="Microsoft YaHei" w:hAnsi="Microsoft YaHei" w:eastAsia="Microsoft YaHei" w:cs="Microsoft YaHei"/>
          <w:sz w:val="28"/>
          <w:szCs w:val="28"/>
        </w:rPr>
      </w:pPr>
      <w:r>
        <w:rPr>
          <w:rFonts w:ascii="Microsoft YaHei" w:hAnsi="Microsoft YaHei" w:eastAsia="Microsoft YaHei" w:cs="Microsoft YaHei"/>
          <w:sz w:val="28"/>
          <w:szCs w:val="28"/>
          <w:b/>
          <w:bCs/>
          <w:spacing w:val="-1"/>
        </w:rPr>
        <w:t>2</w:t>
      </w:r>
      <w:r>
        <w:rPr>
          <w:rFonts w:ascii="Microsoft YaHei" w:hAnsi="Microsoft YaHei" w:eastAsia="Microsoft YaHei" w:cs="Microsoft YaHei"/>
          <w:sz w:val="28"/>
          <w:szCs w:val="28"/>
          <w:b/>
          <w:bCs/>
          <w:color w:val="0B0B0B"/>
          <w:spacing w:val="-1"/>
        </w:rPr>
        <w:t>、监管规则适用指引——法律类第4号</w:t>
      </w:r>
    </w:p>
    <w:p>
      <w:pPr>
        <w:pStyle w:val="BodyText"/>
        <w:spacing w:line="412" w:lineRule="auto"/>
        <w:rPr/>
      </w:pPr>
      <w:r/>
    </w:p>
    <w:p>
      <w:pPr>
        <w:ind w:left="662" w:right="474" w:firstLine="491"/>
        <w:spacing w:before="103" w:line="32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2"/>
        </w:rPr>
        <w:t>2023年10月27日,证监会联合司法部发布了《律师事务所从事证券法律业务管理办法》 （证监会</w:t>
      </w:r>
      <w:r>
        <w:rPr>
          <w:rFonts w:ascii="Microsoft YaHei" w:hAnsi="Microsoft YaHei" w:eastAsia="Microsoft YaHei" w:cs="Microsoft YaHei"/>
          <w:sz w:val="24"/>
          <w:szCs w:val="24"/>
          <w:color w:val="0B0B0B"/>
          <w:spacing w:val="3"/>
        </w:rPr>
        <w:t xml:space="preserve">  </w:t>
      </w:r>
      <w:r>
        <w:rPr>
          <w:rFonts w:ascii="Microsoft YaHei" w:hAnsi="Microsoft YaHei" w:eastAsia="Microsoft YaHei" w:cs="Microsoft YaHei"/>
          <w:sz w:val="24"/>
          <w:szCs w:val="24"/>
          <w:color w:val="0B0B0B"/>
          <w:spacing w:val="-2"/>
        </w:rPr>
        <w:t>令第223号,以下简称《管理办法》） ,</w:t>
      </w:r>
      <w:r>
        <w:rPr>
          <w:rFonts w:ascii="Microsoft YaHei" w:hAnsi="Microsoft YaHei" w:eastAsia="Microsoft YaHei" w:cs="Microsoft YaHei"/>
          <w:sz w:val="24"/>
          <w:szCs w:val="24"/>
          <w:color w:val="0B0B0B"/>
          <w:spacing w:val="-42"/>
        </w:rPr>
        <w:t xml:space="preserve"> </w:t>
      </w:r>
      <w:r>
        <w:rPr>
          <w:rFonts w:ascii="Microsoft YaHei" w:hAnsi="Microsoft YaHei" w:eastAsia="Microsoft YaHei" w:cs="Microsoft YaHei"/>
          <w:sz w:val="24"/>
          <w:szCs w:val="24"/>
          <w:color w:val="0B0B0B"/>
          <w:spacing w:val="-2"/>
        </w:rPr>
        <w:t>自2023年12月1日起施行。为落实《管理办法》第三十</w:t>
      </w:r>
      <w:r>
        <w:rPr>
          <w:rFonts w:ascii="Microsoft YaHei" w:hAnsi="Microsoft YaHei" w:eastAsia="Microsoft YaHei" w:cs="Microsoft YaHei"/>
          <w:sz w:val="24"/>
          <w:szCs w:val="24"/>
          <w:color w:val="0B0B0B"/>
          <w:spacing w:val="-3"/>
        </w:rPr>
        <w:t>条关于律</w:t>
      </w:r>
    </w:p>
    <w:p>
      <w:pPr>
        <w:ind w:left="661" w:right="460" w:firstLine="13"/>
        <w:spacing w:before="34" w:line="430"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rPr>
        <w:t>师事务所定期报送从事证券法律业务基本情况的规定,证监会制</w:t>
      </w:r>
      <w:r>
        <w:rPr>
          <w:rFonts w:ascii="Microsoft YaHei" w:hAnsi="Microsoft YaHei" w:eastAsia="Microsoft YaHei" w:cs="Microsoft YaHei"/>
          <w:sz w:val="24"/>
          <w:szCs w:val="24"/>
          <w:color w:val="0B0B0B"/>
          <w:spacing w:val="-1"/>
        </w:rPr>
        <w:t>定了《监管规则适用指引——法律类第</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rPr>
        <w:t>4号》,请各从事证券法律业务的律师事务所严格</w:t>
      </w:r>
      <w:r>
        <w:rPr>
          <w:rFonts w:ascii="Microsoft YaHei" w:hAnsi="Microsoft YaHei" w:eastAsia="Microsoft YaHei" w:cs="Microsoft YaHei"/>
          <w:sz w:val="24"/>
          <w:szCs w:val="24"/>
          <w:color w:val="0B0B0B"/>
          <w:spacing w:val="-1"/>
        </w:rPr>
        <w:t>遵照执行。</w:t>
      </w:r>
    </w:p>
    <w:p>
      <w:pPr>
        <w:ind w:left="8772"/>
        <w:spacing w:before="165"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2"/>
        </w:rPr>
        <w:t>中国证券监督管理委员会</w:t>
      </w:r>
    </w:p>
    <w:p>
      <w:pPr>
        <w:pStyle w:val="BodyText"/>
        <w:spacing w:line="427" w:lineRule="auto"/>
        <w:rPr/>
      </w:pPr>
      <w:r/>
    </w:p>
    <w:p>
      <w:pPr>
        <w:ind w:left="9561"/>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2"/>
        </w:rPr>
        <w:t>2024年06月28日</w:t>
      </w:r>
    </w:p>
    <w:p>
      <w:pPr>
        <w:pStyle w:val="BodyText"/>
        <w:spacing w:line="433" w:lineRule="auto"/>
        <w:rPr/>
      </w:pPr>
      <w:r/>
    </w:p>
    <w:p>
      <w:pPr>
        <w:ind w:firstLine="4910"/>
        <w:spacing w:line="2700" w:lineRule="exact"/>
        <w:rPr/>
      </w:pPr>
      <w:r>
        <w:rPr>
          <w:position w:val="-54"/>
        </w:rPr>
        <w:drawing>
          <wp:inline distT="0" distB="0" distL="0" distR="0">
            <wp:extent cx="1714500" cy="1714500"/>
            <wp:effectExtent l="0" t="0" r="0" b="0"/>
            <wp:docPr id="12" name="IM 12"/>
            <wp:cNvGraphicFramePr/>
            <a:graphic>
              <a:graphicData uri="http://schemas.openxmlformats.org/drawingml/2006/picture">
                <pic:pic>
                  <pic:nvPicPr>
                    <pic:cNvPr id="12" name="IM 12"/>
                    <pic:cNvPicPr/>
                  </pic:nvPicPr>
                  <pic:blipFill>
                    <a:blip r:embed="rId7"/>
                    <a:stretch>
                      <a:fillRect/>
                    </a:stretch>
                  </pic:blipFill>
                  <pic:spPr>
                    <a:xfrm rot="0">
                      <a:off x="0" y="0"/>
                      <a:ext cx="1714500" cy="1714500"/>
                    </a:xfrm>
                    <a:prstGeom prst="rect">
                      <a:avLst/>
                    </a:prstGeom>
                  </pic:spPr>
                </pic:pic>
              </a:graphicData>
            </a:graphic>
          </wp:inline>
        </w:drawing>
      </w:r>
    </w:p>
    <w:p>
      <w:pPr>
        <w:pStyle w:val="BodyText"/>
        <w:spacing w:line="285" w:lineRule="auto"/>
        <w:rPr/>
      </w:pPr>
      <w:r/>
    </w:p>
    <w:p>
      <w:pPr>
        <w:pStyle w:val="BodyText"/>
        <w:spacing w:line="286" w:lineRule="auto"/>
        <w:rPr/>
      </w:pPr>
      <w:r/>
    </w:p>
    <w:p>
      <w:pPr>
        <w:pStyle w:val="BodyText"/>
        <w:spacing w:line="286" w:lineRule="auto"/>
        <w:rPr/>
      </w:pPr>
      <w:r/>
    </w:p>
    <w:p>
      <w:pPr>
        <w:ind w:left="4357"/>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0B0B0B"/>
          <w:spacing w:val="-1"/>
        </w:rPr>
        <w:t>监管规则适用指引——法律类第4号</w:t>
      </w:r>
    </w:p>
    <w:p>
      <w:pPr>
        <w:spacing w:line="183" w:lineRule="auto"/>
        <w:sectPr>
          <w:pgSz w:w="11910" w:h="16840"/>
          <w:pgMar w:top="1" w:right="134" w:bottom="0" w:left="0" w:header="0" w:footer="0" w:gutter="0"/>
        </w:sectPr>
        <w:rPr>
          <w:rFonts w:ascii="Microsoft YaHei" w:hAnsi="Microsoft YaHei" w:eastAsia="Microsoft YaHei" w:cs="Microsoft YaHei"/>
          <w:sz w:val="24"/>
          <w:szCs w:val="24"/>
        </w:rPr>
      </w:pPr>
    </w:p>
    <w:p>
      <w:pPr>
        <w:rPr>
          <w:rFonts w:ascii="Microsoft YaHei" w:hAnsi="Microsoft YaHei" w:eastAsia="Microsoft YaHei" w:cs="Microsoft YaHei"/>
          <w:sz w:val="43"/>
          <w:szCs w:val="43"/>
        </w:rPr>
      </w:pPr>
      <w:r>
        <w:drawing>
          <wp:anchor distT="0" distB="0" distL="0" distR="0" simplePos="0" relativeHeight="251662336" behindDoc="1" locked="0" layoutInCell="1" allowOverlap="1">
            <wp:simplePos x="0" y="0"/>
            <wp:positionH relativeFrom="column">
              <wp:posOffset>803275</wp:posOffset>
            </wp:positionH>
            <wp:positionV relativeFrom="paragraph">
              <wp:posOffset>580047</wp:posOffset>
            </wp:positionV>
            <wp:extent cx="6674484" cy="34493"/>
            <wp:effectExtent l="0" t="0" r="0" b="0"/>
            <wp:wrapNone/>
            <wp:docPr id="14" name="IM 14"/>
            <wp:cNvGraphicFramePr/>
            <a:graphic>
              <a:graphicData uri="http://schemas.openxmlformats.org/drawingml/2006/picture">
                <pic:pic>
                  <pic:nvPicPr>
                    <pic:cNvPr id="14" name="IM 14"/>
                    <pic:cNvPicPr/>
                  </pic:nvPicPr>
                  <pic:blipFill>
                    <a:blip r:embed="rId8"/>
                    <a:stretch>
                      <a:fillRect/>
                    </a:stretch>
                  </pic:blipFill>
                  <pic:spPr>
                    <a:xfrm rot="0">
                      <a:off x="0" y="0"/>
                      <a:ext cx="6674484" cy="34493"/>
                    </a:xfrm>
                    <a:prstGeom prst="rect">
                      <a:avLst/>
                    </a:prstGeom>
                  </pic:spPr>
                </pic:pic>
              </a:graphicData>
            </a:graphic>
          </wp:anchor>
        </w:drawing>
      </w:r>
      <w:r>
        <w:rPr>
          <w:rFonts w:ascii="Microsoft YaHei" w:hAnsi="Microsoft YaHei" w:eastAsia="Microsoft YaHei" w:cs="Microsoft YaHei"/>
          <w:sz w:val="43"/>
          <w:szCs w:val="43"/>
          <w:position w:val="-39"/>
        </w:rPr>
        <w:drawing>
          <wp:inline distT="0" distB="0" distL="0" distR="0">
            <wp:extent cx="803148" cy="623964"/>
            <wp:effectExtent l="0" t="0" r="0" b="0"/>
            <wp:docPr id="16" name="IM 16"/>
            <wp:cNvGraphicFramePr/>
            <a:graphic>
              <a:graphicData uri="http://schemas.openxmlformats.org/drawingml/2006/picture">
                <pic:pic>
                  <pic:nvPicPr>
                    <pic:cNvPr id="16" name="IM 16"/>
                    <pic:cNvPicPr/>
                  </pic:nvPicPr>
                  <pic:blipFill>
                    <a:blip r:embed="rId9"/>
                    <a:stretch>
                      <a:fillRect/>
                    </a:stretch>
                  </pic:blipFill>
                  <pic:spPr>
                    <a:xfrm rot="0">
                      <a:off x="0" y="0"/>
                      <a:ext cx="803148" cy="623964"/>
                    </a:xfrm>
                    <a:prstGeom prst="rect">
                      <a:avLst/>
                    </a:prstGeom>
                  </pic:spPr>
                </pic:pic>
              </a:graphicData>
            </a:graphic>
          </wp:inline>
        </w:drawing>
      </w:r>
      <w:r>
        <w:rPr>
          <w:rFonts w:ascii="Microsoft YaHei" w:hAnsi="Microsoft YaHei" w:eastAsia="Microsoft YaHei" w:cs="Microsoft YaHei"/>
          <w:sz w:val="43"/>
          <w:szCs w:val="43"/>
          <w:spacing w:val="15"/>
        </w:rPr>
        <w:t xml:space="preserve">   </w:t>
      </w:r>
      <w:r>
        <w:rPr>
          <w:rFonts w:ascii="Microsoft YaHei" w:hAnsi="Microsoft YaHei" w:eastAsia="Microsoft YaHei" w:cs="Microsoft YaHei"/>
          <w:sz w:val="43"/>
          <w:szCs w:val="43"/>
          <w:spacing w:val="8"/>
        </w:rPr>
        <w:t>法规速递</w:t>
      </w:r>
    </w:p>
    <w:p>
      <w:pPr>
        <w:pStyle w:val="BodyText"/>
        <w:spacing w:line="299" w:lineRule="auto"/>
        <w:rPr/>
      </w:pPr>
      <w:r/>
    </w:p>
    <w:p>
      <w:pPr>
        <w:pStyle w:val="BodyText"/>
        <w:spacing w:line="300" w:lineRule="auto"/>
        <w:rPr/>
      </w:pPr>
      <w:r/>
    </w:p>
    <w:p>
      <w:pPr>
        <w:ind w:left="1240"/>
        <w:spacing w:before="120" w:line="229" w:lineRule="auto"/>
        <w:outlineLvl w:val="0"/>
        <w:rPr>
          <w:rFonts w:ascii="Microsoft YaHei" w:hAnsi="Microsoft YaHei" w:eastAsia="Microsoft YaHei" w:cs="Microsoft YaHei"/>
          <w:sz w:val="28"/>
          <w:szCs w:val="28"/>
        </w:rPr>
      </w:pPr>
      <w:r>
        <w:rPr>
          <w:rFonts w:ascii="Microsoft YaHei" w:hAnsi="Microsoft YaHei" w:eastAsia="Microsoft YaHei" w:cs="Microsoft YaHei"/>
          <w:sz w:val="28"/>
          <w:szCs w:val="28"/>
          <w:b/>
          <w:bCs/>
          <w:spacing w:val="-1"/>
        </w:rPr>
        <w:t>3</w:t>
      </w:r>
      <w:r>
        <w:rPr>
          <w:rFonts w:ascii="Microsoft YaHei" w:hAnsi="Microsoft YaHei" w:eastAsia="Microsoft YaHei" w:cs="Microsoft YaHei"/>
          <w:sz w:val="28"/>
          <w:szCs w:val="28"/>
          <w:b/>
          <w:bCs/>
          <w:color w:val="0B0B0B"/>
          <w:spacing w:val="-1"/>
        </w:rPr>
        <w:t>、全国人民代表大会常务委员会关于修改《中华人民共和国会计法》的决定</w:t>
      </w:r>
    </w:p>
    <w:p>
      <w:pPr>
        <w:pStyle w:val="BodyText"/>
        <w:spacing w:line="380" w:lineRule="auto"/>
        <w:rPr/>
      </w:pPr>
      <w:r/>
    </w:p>
    <w:p>
      <w:pPr>
        <w:ind w:left="668" w:right="547" w:firstLine="473"/>
        <w:spacing w:before="103" w:line="332"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rPr>
        <w:t>《全国人民代表大会常务委员会关于修改〈中华人民共和国会计法〉的决定》已由中华</w:t>
      </w:r>
      <w:r>
        <w:rPr>
          <w:rFonts w:ascii="Microsoft YaHei" w:hAnsi="Microsoft YaHei" w:eastAsia="Microsoft YaHei" w:cs="Microsoft YaHei"/>
          <w:sz w:val="24"/>
          <w:szCs w:val="24"/>
          <w:color w:val="0B0B0B"/>
          <w:spacing w:val="-1"/>
        </w:rPr>
        <w:t>人民共和</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3"/>
        </w:rPr>
        <w:t>国第十四届全国人民代表大会常务委员会第十次会议于2024年6</w:t>
      </w:r>
      <w:r>
        <w:rPr>
          <w:rFonts w:ascii="Microsoft YaHei" w:hAnsi="Microsoft YaHei" w:eastAsia="Microsoft YaHei" w:cs="Microsoft YaHei"/>
          <w:sz w:val="24"/>
          <w:szCs w:val="24"/>
          <w:color w:val="0B0B0B"/>
          <w:spacing w:val="-4"/>
        </w:rPr>
        <w:t>月28日通过， 现予公布，</w:t>
      </w:r>
      <w:r>
        <w:rPr>
          <w:rFonts w:ascii="Microsoft YaHei" w:hAnsi="Microsoft YaHei" w:eastAsia="Microsoft YaHei" w:cs="Microsoft YaHei"/>
          <w:sz w:val="24"/>
          <w:szCs w:val="24"/>
          <w:color w:val="0B0B0B"/>
          <w:spacing w:val="18"/>
        </w:rPr>
        <w:t xml:space="preserve"> </w:t>
      </w:r>
      <w:r>
        <w:rPr>
          <w:rFonts w:ascii="Microsoft YaHei" w:hAnsi="Microsoft YaHei" w:eastAsia="Microsoft YaHei" w:cs="Microsoft YaHei"/>
          <w:sz w:val="24"/>
          <w:szCs w:val="24"/>
          <w:color w:val="0B0B0B"/>
          <w:spacing w:val="-4"/>
        </w:rPr>
        <w:t>自2024年7</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2"/>
        </w:rPr>
        <w:t>月1日起施行。</w:t>
      </w:r>
    </w:p>
    <w:p>
      <w:pPr>
        <w:ind w:left="8275"/>
        <w:spacing w:before="323" w:line="184"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1"/>
        </w:rPr>
        <w:t>全国人民代表大会常务委员会</w:t>
      </w:r>
    </w:p>
    <w:p>
      <w:pPr>
        <w:pStyle w:val="BodyText"/>
        <w:spacing w:line="427" w:lineRule="auto"/>
        <w:rPr/>
      </w:pPr>
      <w:r/>
    </w:p>
    <w:p>
      <w:pPr>
        <w:ind w:left="9561"/>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2"/>
        </w:rPr>
        <w:t>2024年06月28日</w:t>
      </w:r>
    </w:p>
    <w:p>
      <w:pPr>
        <w:pStyle w:val="BodyText"/>
        <w:spacing w:line="431" w:lineRule="auto"/>
        <w:rPr/>
      </w:pPr>
      <w:r/>
    </w:p>
    <w:p>
      <w:pPr>
        <w:ind w:firstLine="4910"/>
        <w:spacing w:line="2700" w:lineRule="exact"/>
        <w:rPr/>
      </w:pPr>
      <w:r>
        <w:rPr>
          <w:position w:val="-53"/>
        </w:rPr>
        <w:drawing>
          <wp:inline distT="0" distB="0" distL="0" distR="0">
            <wp:extent cx="1714500" cy="1714499"/>
            <wp:effectExtent l="0" t="0" r="0" b="0"/>
            <wp:docPr id="18" name="IM 18"/>
            <wp:cNvGraphicFramePr/>
            <a:graphic>
              <a:graphicData uri="http://schemas.openxmlformats.org/drawingml/2006/picture">
                <pic:pic>
                  <pic:nvPicPr>
                    <pic:cNvPr id="18" name="IM 18"/>
                    <pic:cNvPicPr/>
                  </pic:nvPicPr>
                  <pic:blipFill>
                    <a:blip r:embed="rId10"/>
                    <a:stretch>
                      <a:fillRect/>
                    </a:stretch>
                  </pic:blipFill>
                  <pic:spPr>
                    <a:xfrm rot="0">
                      <a:off x="0" y="0"/>
                      <a:ext cx="1714500" cy="1714499"/>
                    </a:xfrm>
                    <a:prstGeom prst="rect">
                      <a:avLst/>
                    </a:prstGeom>
                  </pic:spPr>
                </pic:pic>
              </a:graphicData>
            </a:graphic>
          </wp:inline>
        </w:drawing>
      </w:r>
    </w:p>
    <w:p>
      <w:pPr>
        <w:pStyle w:val="BodyText"/>
        <w:spacing w:line="270" w:lineRule="auto"/>
        <w:rPr/>
      </w:pPr>
      <w:r/>
    </w:p>
    <w:p>
      <w:pPr>
        <w:pStyle w:val="BodyText"/>
        <w:spacing w:line="270" w:lineRule="auto"/>
        <w:rPr/>
      </w:pPr>
      <w:r/>
    </w:p>
    <w:p>
      <w:pPr>
        <w:pStyle w:val="BodyText"/>
        <w:spacing w:line="270" w:lineRule="auto"/>
        <w:rPr/>
      </w:pPr>
      <w:r/>
    </w:p>
    <w:p>
      <w:pPr>
        <w:ind w:left="2410"/>
        <w:spacing w:before="104" w:line="228"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0B0B0B"/>
        </w:rPr>
        <w:t>全国人民代表大会常务委员会关于修改《中华人民共和国会计</w:t>
      </w:r>
      <w:r>
        <w:rPr>
          <w:rFonts w:ascii="Microsoft YaHei" w:hAnsi="Microsoft YaHei" w:eastAsia="Microsoft YaHei" w:cs="Microsoft YaHei"/>
          <w:sz w:val="24"/>
          <w:szCs w:val="24"/>
          <w:b/>
          <w:bCs/>
          <w:color w:val="0B0B0B"/>
          <w:spacing w:val="-1"/>
        </w:rPr>
        <w:t>法》的决定</w:t>
      </w:r>
    </w:p>
    <w:p>
      <w:pPr>
        <w:spacing w:line="228" w:lineRule="auto"/>
        <w:sectPr>
          <w:pgSz w:w="11910" w:h="16840"/>
          <w:pgMar w:top="1" w:right="134" w:bottom="0" w:left="0" w:header="0" w:footer="0" w:gutter="0"/>
        </w:sectPr>
        <w:rPr>
          <w:rFonts w:ascii="Microsoft YaHei" w:hAnsi="Microsoft YaHei" w:eastAsia="Microsoft YaHei" w:cs="Microsoft YaHei"/>
          <w:sz w:val="24"/>
          <w:szCs w:val="24"/>
        </w:rPr>
      </w:pPr>
    </w:p>
    <w:p>
      <w:pPr>
        <w:ind w:firstLine="26"/>
        <w:spacing w:line="1137" w:lineRule="exact"/>
        <w:rPr/>
      </w:pPr>
      <w:r>
        <w:rPr>
          <w:position w:val="-22"/>
        </w:rPr>
        <w:pict>
          <v:group id="_x0000_s6" style="mso-position-vertical-relative:line;mso-position-horizontal-relative:char;width:67.85pt;height:56.9pt;" filled="false" stroked="false" coordsize="1356,1138" coordorigin="0,0">
            <v:shape id="_x0000_s8" style="position:absolute;left:0;top:0;width:1356;height:1138;" fillcolor="#A61C1F" filled="true" stroked="false" coordsize="1356,1138" coordorigin="0,0" path="m,l1356,0l1356,1137l0,1137l0,0xe"/>
            <v:shape id="_x0000_s10" style="position:absolute;left:236;top:112;width:819;height:913;" fillcolor="#FFFFFF" filled="true" stroked="false" coordsize="819,913" coordorigin="0,0" path="m595,777l223,777l213,770l213,730l223,725l595,725l605,730l605,770l595,777xm582,708l237,708l225,699l225,688l213,635l181,584l136,533l88,480l44,424l12,362l0,298l0,290l5,238l22,188l50,144l84,105l127,73l176,47l231,25l287,10l347,3l409,0l470,3l530,10l587,25l641,47l690,73l733,105l736,109l366,109l359,117l359,125l355,149l353,152l233,152l201,175l189,185l177,195l172,200l172,209l177,215l207,243l209,245l209,249l202,259l196,269l191,280l185,290l185,292l183,292l181,294l171,294l124,298l116,303l116,370l124,375l136,377l181,382l183,382l185,383l185,385l191,395l196,405l202,415l209,425l209,429l201,438l192,445l177,460l172,465l172,474l177,480l225,517l233,522l353,522l356,539l359,549l359,559l366,565l648,565l637,578l605,630l592,688l592,699l582,708xm525,183l523,182l497,172l483,168l469,165l467,165l467,163l465,160l465,149l461,137l461,125l459,117l451,109l736,109l768,144l773,152l586,152l575,154l566,158l530,182l528,182l525,183xm293,183l291,182l289,182l281,175l271,170l261,164l251,158l243,154l233,152l353,152l352,160l352,163l350,165l349,165l335,168l321,172l307,177l294,182l293,183xm686,522l586,522l647,474l645,465l640,460l625,445l617,438l608,429l608,428l610,425l616,415l621,405l627,395l632,385l632,383l635,382l638,382l683,377l693,375l703,370l703,303l693,298l683,297l648,294l638,294l635,292l632,292l632,290l627,280l621,269l616,259l610,249l608,248l608,245l610,243l640,215l645,209l647,200l640,195l628,185l616,175l592,158l586,152l773,152l795,188l812,238l818,290l818,298l805,362l773,422l729,475l686,522xm410,448l355,439l308,415l278,380l267,337l278,295l308,260l355,235l410,228l465,235l509,260l539,295l550,337l539,380l509,415l465,439l410,448xm353,522l243,522l251,515l261,510l271,505l281,500l289,494l291,492l294,492l307,498l321,503l335,505l349,509l352,512l352,515l353,522xm648,565l451,565l459,559l461,549l461,539l465,525l465,514l467,512l467,510l469,509l497,503l510,498l523,492l528,492l530,494l539,500l548,505l557,510l566,515l575,522l686,522l681,527l648,565xm560,912l257,912l247,905l247,865l257,859l560,859l570,865l570,905l560,912xm582,845l235,845l227,839l227,797l235,790l582,790l592,797l592,839l582,845e"/>
          </v:group>
        </w:pict>
      </w:r>
    </w:p>
    <w:p>
      <w:pPr>
        <w:pStyle w:val="BodyText"/>
        <w:spacing w:line="14" w:lineRule="auto"/>
        <w:rPr>
          <w:sz w:val="2"/>
        </w:rPr>
      </w:pPr>
      <w:r>
        <w:rPr>
          <w:sz w:val="2"/>
          <w:szCs w:val="2"/>
        </w:rPr>
        <w:br w:type="column"/>
      </w:r>
    </w:p>
    <w:p>
      <w:pPr>
        <w:spacing w:before="302" w:line="186" w:lineRule="auto"/>
        <w:rPr>
          <w:rFonts w:ascii="Microsoft YaHei" w:hAnsi="Microsoft YaHei" w:eastAsia="Microsoft YaHei" w:cs="Microsoft YaHei"/>
          <w:sz w:val="43"/>
          <w:szCs w:val="43"/>
        </w:rPr>
      </w:pPr>
      <w:r>
        <w:rPr>
          <w:rFonts w:ascii="Microsoft YaHei" w:hAnsi="Microsoft YaHei" w:eastAsia="Microsoft YaHei" w:cs="Microsoft YaHei"/>
          <w:sz w:val="43"/>
          <w:szCs w:val="43"/>
          <w:spacing w:val="7"/>
        </w:rPr>
        <w:t>监管动态</w:t>
      </w:r>
    </w:p>
    <w:p>
      <w:pPr>
        <w:spacing w:line="186" w:lineRule="auto"/>
        <w:sectPr>
          <w:pgSz w:w="11910" w:h="16840"/>
          <w:pgMar w:top="343" w:right="48" w:bottom="0" w:left="0" w:header="0" w:footer="0" w:gutter="0"/>
          <w:cols w:equalWidth="0" w:num="2">
            <w:col w:w="1580" w:space="100"/>
            <w:col w:w="10183" w:space="0"/>
          </w:cols>
        </w:sectPr>
        <w:rPr>
          <w:rFonts w:ascii="Microsoft YaHei" w:hAnsi="Microsoft YaHei" w:eastAsia="Microsoft YaHei" w:cs="Microsoft YaHei"/>
          <w:sz w:val="43"/>
          <w:szCs w:val="43"/>
        </w:rPr>
      </w:pPr>
    </w:p>
    <w:p>
      <w:pPr>
        <w:spacing w:before="158" w:line="924" w:lineRule="exact"/>
        <w:rPr/>
      </w:pPr>
      <w:r>
        <w:drawing>
          <wp:anchor distT="0" distB="0" distL="0" distR="0" simplePos="0" relativeHeight="251666432" behindDoc="0" locked="0" layoutInCell="1" allowOverlap="1">
            <wp:simplePos x="0" y="0"/>
            <wp:positionH relativeFrom="column">
              <wp:posOffset>857250</wp:posOffset>
            </wp:positionH>
            <wp:positionV relativeFrom="paragraph">
              <wp:posOffset>-34404</wp:posOffset>
            </wp:positionV>
            <wp:extent cx="6675119" cy="32245"/>
            <wp:effectExtent l="0" t="0" r="0" b="0"/>
            <wp:wrapNone/>
            <wp:docPr id="20" name="IM 20"/>
            <wp:cNvGraphicFramePr/>
            <a:graphic>
              <a:graphicData uri="http://schemas.openxmlformats.org/drawingml/2006/picture">
                <pic:pic>
                  <pic:nvPicPr>
                    <pic:cNvPr id="20" name="IM 20"/>
                    <pic:cNvPicPr/>
                  </pic:nvPicPr>
                  <pic:blipFill>
                    <a:blip r:embed="rId11"/>
                    <a:stretch>
                      <a:fillRect/>
                    </a:stretch>
                  </pic:blipFill>
                  <pic:spPr>
                    <a:xfrm rot="0">
                      <a:off x="0" y="0"/>
                      <a:ext cx="6675119" cy="32245"/>
                    </a:xfrm>
                    <a:prstGeom prst="rect">
                      <a:avLst/>
                    </a:prstGeom>
                  </pic:spPr>
                </pic:pic>
              </a:graphicData>
            </a:graphic>
          </wp:anchor>
        </w:drawing>
      </w:r>
      <w:r>
        <w:rPr>
          <w:position w:val="-18"/>
        </w:rPr>
        <w:pict>
          <v:group id="_x0000_s12" style="mso-position-vertical-relative:line;mso-position-horizontal-relative:char;width:134.3pt;height:46.25pt;" filled="false" stroked="false" coordsize="2686,925" coordorigin="0,0">
            <v:shape id="_x0000_s14" style="position:absolute;left:0;top:0;width:2686;height:925;" filled="false" stroked="false" type="#_x0000_t75">
              <v:imagedata o:title="" r:id="rId12"/>
            </v:shape>
            <v:shape id="_x0000_s16" style="position:absolute;left:-20;top:-20;width:2726;height:965;" filled="false" stroked="false" type="#_x0000_t202">
              <v:fill on="false"/>
              <v:stroke on="false"/>
              <v:path/>
              <v:imagedata o:title=""/>
              <o:lock v:ext="edit" aspectratio="false"/>
              <v:textbox inset="0mm,0mm,0mm,0mm">
                <w:txbxContent>
                  <w:p>
                    <w:pPr>
                      <w:ind w:left="483"/>
                      <w:spacing w:before="246"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FFFFFF"/>
                        <w:spacing w:val="-2"/>
                      </w:rPr>
                      <w:t>市场监管概览</w:t>
                    </w:r>
                  </w:p>
                </w:txbxContent>
              </v:textbox>
            </v:shape>
          </v:group>
        </w:pict>
      </w:r>
    </w:p>
    <w:p>
      <w:pPr>
        <w:pStyle w:val="BodyText"/>
        <w:spacing w:line="275" w:lineRule="auto"/>
        <w:rPr/>
      </w:pPr>
      <w:r/>
    </w:p>
    <w:p>
      <w:pPr>
        <w:pStyle w:val="BodyText"/>
        <w:spacing w:line="276" w:lineRule="auto"/>
        <w:rPr/>
      </w:pPr>
      <w:r/>
    </w:p>
    <w:p>
      <w:pPr>
        <w:pStyle w:val="BodyText"/>
        <w:spacing w:line="276" w:lineRule="auto"/>
        <w:rPr/>
      </w:pPr>
      <w:r/>
    </w:p>
    <w:p>
      <w:pPr>
        <w:pStyle w:val="BodyText"/>
        <w:spacing w:line="276" w:lineRule="auto"/>
        <w:rPr/>
      </w:pPr>
      <w:r>
        <w:drawing>
          <wp:anchor distT="0" distB="0" distL="0" distR="0" simplePos="0" relativeHeight="251665408" behindDoc="0" locked="0" layoutInCell="1" allowOverlap="1">
            <wp:simplePos x="0" y="0"/>
            <wp:positionH relativeFrom="column">
              <wp:posOffset>307975</wp:posOffset>
            </wp:positionH>
            <wp:positionV relativeFrom="paragraph">
              <wp:posOffset>212011</wp:posOffset>
            </wp:positionV>
            <wp:extent cx="3223895" cy="1896109"/>
            <wp:effectExtent l="0" t="0" r="0" b="0"/>
            <wp:wrapNone/>
            <wp:docPr id="22" name="IM 22"/>
            <wp:cNvGraphicFramePr/>
            <a:graphic>
              <a:graphicData uri="http://schemas.openxmlformats.org/drawingml/2006/picture">
                <pic:pic>
                  <pic:nvPicPr>
                    <pic:cNvPr id="22" name="IM 22"/>
                    <pic:cNvPicPr/>
                  </pic:nvPicPr>
                  <pic:blipFill>
                    <a:blip r:embed="rId13"/>
                    <a:stretch>
                      <a:fillRect/>
                    </a:stretch>
                  </pic:blipFill>
                  <pic:spPr>
                    <a:xfrm rot="0">
                      <a:off x="0" y="0"/>
                      <a:ext cx="3223895" cy="1896109"/>
                    </a:xfrm>
                    <a:prstGeom prst="rect">
                      <a:avLst/>
                    </a:prstGeom>
                  </pic:spPr>
                </pic:pic>
              </a:graphicData>
            </a:graphic>
          </wp:anchor>
        </w:drawing>
      </w:r>
      <w:r/>
    </w:p>
    <w:p>
      <w:pPr>
        <w:ind w:left="6161" w:right="613" w:firstLine="488"/>
        <w:spacing w:before="103" w:line="33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rPr>
        <w:t>2024年6月24日-6月30日， 证</w:t>
      </w:r>
      <w:r>
        <w:rPr>
          <w:rFonts w:ascii="Microsoft YaHei" w:hAnsi="Microsoft YaHei" w:eastAsia="Microsoft YaHei" w:cs="Microsoft YaHei"/>
          <w:sz w:val="24"/>
          <w:szCs w:val="24"/>
          <w:spacing w:val="-1"/>
        </w:rPr>
        <w:t>监会作出4份</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6"/>
        </w:rPr>
        <w:t>监管文书； 证监局作出16份监管文书； 上交所作</w:t>
      </w:r>
      <w:r>
        <w:rPr>
          <w:rFonts w:ascii="Microsoft YaHei" w:hAnsi="Microsoft YaHei" w:eastAsia="Microsoft YaHei" w:cs="Microsoft YaHei"/>
          <w:sz w:val="24"/>
          <w:szCs w:val="24"/>
          <w:spacing w:val="7"/>
        </w:rPr>
        <w:t xml:space="preserve"> </w:t>
      </w:r>
      <w:r>
        <w:rPr>
          <w:rFonts w:ascii="Microsoft YaHei" w:hAnsi="Microsoft YaHei" w:eastAsia="Microsoft YaHei" w:cs="Microsoft YaHei"/>
          <w:sz w:val="24"/>
          <w:szCs w:val="24"/>
          <w:spacing w:val="-4"/>
        </w:rPr>
        <w:t>出12份监管文书； 深交所作出1份监管文书。</w:t>
      </w:r>
    </w:p>
    <w:p>
      <w:pPr>
        <w:ind w:left="6159" w:right="613" w:firstLine="482"/>
        <w:spacing w:before="41" w:line="335" w:lineRule="auto"/>
        <w:rPr>
          <w:rFonts w:ascii="Microsoft YaHei" w:hAnsi="Microsoft YaHei" w:eastAsia="Microsoft YaHei" w:cs="Microsoft YaHei"/>
          <w:sz w:val="24"/>
          <w:szCs w:val="24"/>
        </w:rPr>
      </w:pPr>
      <w:r>
        <w:drawing>
          <wp:anchor distT="0" distB="0" distL="0" distR="0" simplePos="0" relativeHeight="251664384" behindDoc="0" locked="0" layoutInCell="1" allowOverlap="1">
            <wp:simplePos x="0" y="0"/>
            <wp:positionH relativeFrom="column">
              <wp:posOffset>156210</wp:posOffset>
            </wp:positionH>
            <wp:positionV relativeFrom="paragraph">
              <wp:posOffset>1082183</wp:posOffset>
            </wp:positionV>
            <wp:extent cx="3611244" cy="3177540"/>
            <wp:effectExtent l="0" t="0" r="0" b="0"/>
            <wp:wrapNone/>
            <wp:docPr id="24" name="IM 24"/>
            <wp:cNvGraphicFramePr/>
            <a:graphic>
              <a:graphicData uri="http://schemas.openxmlformats.org/drawingml/2006/picture">
                <pic:pic>
                  <pic:nvPicPr>
                    <pic:cNvPr id="24" name="IM 24"/>
                    <pic:cNvPicPr/>
                  </pic:nvPicPr>
                  <pic:blipFill>
                    <a:blip r:embed="rId14"/>
                    <a:stretch>
                      <a:fillRect/>
                    </a:stretch>
                  </pic:blipFill>
                  <pic:spPr>
                    <a:xfrm rot="0">
                      <a:off x="0" y="0"/>
                      <a:ext cx="3611244" cy="3177540"/>
                    </a:xfrm>
                    <a:prstGeom prst="rect">
                      <a:avLst/>
                    </a:prstGeom>
                  </pic:spPr>
                </pic:pic>
              </a:graphicData>
            </a:graphic>
          </wp:anchor>
        </w:drawing>
      </w:r>
      <w:r>
        <w:rPr>
          <w:rFonts w:ascii="Microsoft YaHei" w:hAnsi="Microsoft YaHei" w:eastAsia="Microsoft YaHei" w:cs="Microsoft YaHei"/>
          <w:sz w:val="24"/>
          <w:szCs w:val="24"/>
        </w:rPr>
        <w:t>上周， 证监会对3个对象进行立案调查， 作</w:t>
      </w:r>
      <w:r>
        <w:rPr>
          <w:rFonts w:ascii="Microsoft YaHei" w:hAnsi="Microsoft YaHei" w:eastAsia="Microsoft YaHei" w:cs="Microsoft YaHei"/>
          <w:sz w:val="24"/>
          <w:szCs w:val="24"/>
          <w:spacing w:val="2"/>
        </w:rPr>
        <w:t xml:space="preserve"> </w:t>
      </w:r>
      <w:r>
        <w:rPr>
          <w:rFonts w:ascii="Microsoft YaHei" w:hAnsi="Microsoft YaHei" w:eastAsia="Microsoft YaHei" w:cs="Microsoft YaHei"/>
          <w:sz w:val="24"/>
          <w:szCs w:val="24"/>
          <w:spacing w:val="1"/>
        </w:rPr>
        <w:t>出1份行政处罚事先告知书； 证监局作出14份行</w:t>
      </w:r>
      <w:r>
        <w:rPr>
          <w:rFonts w:ascii="Microsoft YaHei" w:hAnsi="Microsoft YaHei" w:eastAsia="Microsoft YaHei" w:cs="Microsoft YaHei"/>
          <w:sz w:val="24"/>
          <w:szCs w:val="24"/>
          <w:spacing w:val="12"/>
        </w:rPr>
        <w:t xml:space="preserve"> </w:t>
      </w:r>
      <w:r>
        <w:rPr>
          <w:rFonts w:ascii="Microsoft YaHei" w:hAnsi="Microsoft YaHei" w:eastAsia="Microsoft YaHei" w:cs="Microsoft YaHei"/>
          <w:sz w:val="24"/>
          <w:szCs w:val="24"/>
          <w:spacing w:val="-4"/>
        </w:rPr>
        <w:t>政监管措施决定书， 2份行政处罚决定书。</w:t>
      </w:r>
    </w:p>
    <w:p>
      <w:pPr>
        <w:ind w:left="6122" w:right="521" w:firstLine="522"/>
        <w:spacing w:before="9" w:line="33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4"/>
        </w:rPr>
        <w:t>上周， 上交所公司监管部门作出5份监管警示</w:t>
      </w:r>
      <w:r>
        <w:rPr>
          <w:rFonts w:ascii="Microsoft YaHei" w:hAnsi="Microsoft YaHei" w:eastAsia="Microsoft YaHei" w:cs="Microsoft YaHei"/>
          <w:sz w:val="24"/>
          <w:szCs w:val="24"/>
          <w:spacing w:val="6"/>
        </w:rPr>
        <w:t xml:space="preserve"> </w:t>
      </w:r>
      <w:r>
        <w:rPr>
          <w:rFonts w:ascii="Microsoft YaHei" w:hAnsi="Microsoft YaHei" w:eastAsia="Microsoft YaHei" w:cs="Microsoft YaHei"/>
          <w:sz w:val="24"/>
          <w:szCs w:val="24"/>
          <w:spacing w:val="-6"/>
        </w:rPr>
        <w:t>函， 对7宗行为予以纪律处分。</w:t>
      </w:r>
      <w:r>
        <w:rPr>
          <w:rFonts w:ascii="Microsoft YaHei" w:hAnsi="Microsoft YaHei" w:eastAsia="Microsoft YaHei" w:cs="Microsoft YaHei"/>
          <w:sz w:val="24"/>
          <w:szCs w:val="24"/>
          <w:spacing w:val="-34"/>
        </w:rPr>
        <w:t xml:space="preserve"> </w:t>
      </w:r>
      <w:r>
        <w:rPr>
          <w:rFonts w:ascii="Microsoft YaHei" w:hAnsi="Microsoft YaHei" w:eastAsia="Microsoft YaHei" w:cs="Microsoft YaHei"/>
          <w:sz w:val="24"/>
          <w:szCs w:val="24"/>
          <w:spacing w:val="-6"/>
        </w:rPr>
        <w:t>同时， 加大信息披</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4"/>
        </w:rPr>
        <w:t>露和股价异常的联动监管， 针对公司披露敏感信</w:t>
      </w:r>
      <w:r>
        <w:rPr>
          <w:rFonts w:ascii="Microsoft YaHei" w:hAnsi="Microsoft YaHei" w:eastAsia="Microsoft YaHei" w:cs="Microsoft YaHei"/>
          <w:sz w:val="24"/>
          <w:szCs w:val="24"/>
          <w:spacing w:val="17"/>
        </w:rPr>
        <w:t xml:space="preserve"> </w:t>
      </w:r>
      <w:r>
        <w:rPr>
          <w:rFonts w:ascii="Microsoft YaHei" w:hAnsi="Microsoft YaHei" w:eastAsia="Microsoft YaHei" w:cs="Microsoft YaHei"/>
          <w:sz w:val="24"/>
          <w:szCs w:val="24"/>
          <w:spacing w:val="4"/>
        </w:rPr>
        <w:t>息或股价发生明显异常的， 提请启动内幕交易、</w:t>
      </w:r>
      <w:r>
        <w:rPr>
          <w:rFonts w:ascii="Microsoft YaHei" w:hAnsi="Microsoft YaHei" w:eastAsia="Microsoft YaHei" w:cs="Microsoft YaHei"/>
          <w:sz w:val="24"/>
          <w:szCs w:val="24"/>
          <w:spacing w:val="17"/>
          <w:w w:val="101"/>
        </w:rPr>
        <w:t xml:space="preserve"> </w:t>
      </w:r>
      <w:r>
        <w:rPr>
          <w:rFonts w:ascii="Microsoft YaHei" w:hAnsi="Microsoft YaHei" w:eastAsia="Microsoft YaHei" w:cs="Microsoft YaHei"/>
          <w:sz w:val="24"/>
          <w:szCs w:val="24"/>
          <w:spacing w:val="-1"/>
        </w:rPr>
        <w:t>异常交易核查12单。</w:t>
      </w:r>
    </w:p>
    <w:p>
      <w:pPr>
        <w:ind w:left="6608"/>
        <w:spacing w:before="3" w:line="237" w:lineRule="exact"/>
        <w:rPr>
          <w:rFonts w:ascii="Microsoft YaHei" w:hAnsi="Microsoft YaHei" w:eastAsia="Microsoft YaHei" w:cs="Microsoft YaHei"/>
          <w:sz w:val="24"/>
          <w:szCs w:val="24"/>
        </w:rPr>
      </w:pPr>
      <w:r>
        <w:rPr>
          <w:rFonts w:ascii="Microsoft YaHei" w:hAnsi="Microsoft YaHei" w:eastAsia="Microsoft YaHei" w:cs="Microsoft YaHei"/>
          <w:sz w:val="24"/>
          <w:szCs w:val="24"/>
          <w:spacing w:val="-6"/>
          <w:position w:val="-1"/>
        </w:rPr>
        <w:t>上周， 深交所发出1份监管函。</w:t>
      </w:r>
    </w:p>
    <w:p>
      <w:pPr>
        <w:spacing w:line="237" w:lineRule="exact"/>
        <w:sectPr>
          <w:type w:val="continuous"/>
          <w:pgSz w:w="11910" w:h="16840"/>
          <w:pgMar w:top="343" w:right="48" w:bottom="0" w:left="0" w:header="0" w:footer="0" w:gutter="0"/>
          <w:cols w:equalWidth="0" w:num="1">
            <w:col w:w="11862" w:space="0"/>
          </w:cols>
        </w:sectPr>
        <w:rPr>
          <w:rFonts w:ascii="Microsoft YaHei" w:hAnsi="Microsoft YaHei" w:eastAsia="Microsoft YaHei" w:cs="Microsoft YaHei"/>
          <w:sz w:val="24"/>
          <w:szCs w:val="24"/>
        </w:rPr>
      </w:pPr>
    </w:p>
    <w:p>
      <w:pPr>
        <w:spacing w:line="924" w:lineRule="exact"/>
        <w:rPr/>
      </w:pPr>
      <w:r>
        <w:rPr>
          <w:position w:val="-18"/>
        </w:rPr>
        <w:pict>
          <v:group id="_x0000_s18" style="mso-position-vertical-relative:line;mso-position-horizontal-relative:char;width:188.3pt;height:46.25pt;" filled="false" stroked="false" coordsize="3766,925" coordorigin="0,0">
            <v:shape id="_x0000_s20" style="position:absolute;left:0;top:0;width:3766;height:925;" filled="false" stroked="false" type="#_x0000_t75">
              <v:imagedata o:title="" r:id="rId15"/>
            </v:shape>
            <v:shape id="_x0000_s22" style="position:absolute;left:-20;top:-20;width:3806;height:965;" filled="false" stroked="false" type="#_x0000_t202">
              <v:fill on="false"/>
              <v:stroke on="false"/>
              <v:path/>
              <v:imagedata o:title=""/>
              <o:lock v:ext="edit" aspectratio="false"/>
              <v:textbox inset="0mm,0mm,0mm,0mm">
                <w:txbxContent>
                  <w:p>
                    <w:pPr>
                      <w:ind w:left="387"/>
                      <w:spacing w:before="241" w:line="183"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FFFFFF"/>
                        <w:spacing w:val="-1"/>
                      </w:rPr>
                      <w:t>证监会证监局监管动态</w:t>
                    </w:r>
                  </w:p>
                </w:txbxContent>
              </v:textbox>
            </v:shape>
          </v:group>
        </w:pict>
      </w:r>
    </w:p>
    <w:p>
      <w:pPr>
        <w:ind w:left="442" w:firstLine="490"/>
        <w:spacing w:before="173" w:line="359"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1"/>
        </w:rPr>
        <w:t>2024年6月24日-6月30日， 证监会对3个对象进行立案</w:t>
      </w:r>
      <w:r>
        <w:rPr>
          <w:rFonts w:ascii="Microsoft YaHei" w:hAnsi="Microsoft YaHei" w:eastAsia="Microsoft YaHei" w:cs="Microsoft YaHei"/>
          <w:sz w:val="24"/>
          <w:szCs w:val="24"/>
          <w:spacing w:val="-2"/>
        </w:rPr>
        <w:t>调查， 作出1份行政处罚事先告知书； 证监</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rPr>
        <w:t>局作出14份行政监管措施决定书,2份行政处</w:t>
      </w:r>
      <w:r>
        <w:rPr>
          <w:rFonts w:ascii="Microsoft YaHei" w:hAnsi="Microsoft YaHei" w:eastAsia="Microsoft YaHei" w:cs="Microsoft YaHei"/>
          <w:sz w:val="24"/>
          <w:szCs w:val="24"/>
          <w:spacing w:val="-1"/>
        </w:rPr>
        <w:t>罚决定书。</w:t>
      </w:r>
    </w:p>
    <w:p>
      <w:pPr>
        <w:ind w:left="956"/>
        <w:spacing w:before="31"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1"/>
        </w:rPr>
        <w:t>（1） 行政处罚决定</w:t>
      </w:r>
    </w:p>
    <w:p>
      <w:pPr>
        <w:spacing w:line="185" w:lineRule="exact"/>
        <w:rPr/>
      </w:pPr>
      <w:r/>
    </w:p>
    <w:tbl>
      <w:tblPr>
        <w:tblStyle w:val="TableNormal"/>
        <w:tblW w:w="10776" w:type="dxa"/>
        <w:tblInd w:w="466"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622"/>
        <w:gridCol w:w="1798"/>
        <w:gridCol w:w="7356"/>
      </w:tblGrid>
      <w:tr>
        <w:trPr>
          <w:trHeight w:val="385" w:hRule="atLeast"/>
        </w:trPr>
        <w:tc>
          <w:tcPr>
            <w:shd w:val="clear" w:fill="4F81BD"/>
            <w:tcW w:w="1622" w:type="dxa"/>
            <w:vAlign w:val="top"/>
            <w:tcBorders>
              <w:bottom w:val="single" w:color="FFFFFF" w:sz="2" w:space="0"/>
            </w:tcBorders>
          </w:tcPr>
          <w:p>
            <w:pPr>
              <w:pStyle w:val="TableText"/>
              <w:ind w:left="386"/>
              <w:spacing w:before="109" w:line="186" w:lineRule="auto"/>
              <w:rPr/>
            </w:pPr>
            <w:r>
              <w:rPr>
                <w:b/>
                <w:bCs/>
                <w:color w:val="FFFFFF"/>
                <w:spacing w:val="8"/>
              </w:rPr>
              <w:t>公司代码</w:t>
            </w:r>
          </w:p>
        </w:tc>
        <w:tc>
          <w:tcPr>
            <w:shd w:val="clear" w:fill="4F81BD"/>
            <w:tcW w:w="1798" w:type="dxa"/>
            <w:vAlign w:val="top"/>
            <w:tcBorders>
              <w:bottom w:val="single" w:color="FFFFFF" w:sz="2" w:space="0"/>
            </w:tcBorders>
          </w:tcPr>
          <w:p>
            <w:pPr>
              <w:pStyle w:val="TableText"/>
              <w:ind w:left="470"/>
              <w:spacing w:before="109" w:line="186" w:lineRule="auto"/>
              <w:rPr/>
            </w:pPr>
            <w:r>
              <w:rPr>
                <w:b/>
                <w:bCs/>
                <w:color w:val="FFFFFF"/>
                <w:spacing w:val="8"/>
              </w:rPr>
              <w:t>公司简称</w:t>
            </w:r>
          </w:p>
        </w:tc>
        <w:tc>
          <w:tcPr>
            <w:shd w:val="clear" w:fill="4F81BD"/>
            <w:tcW w:w="7356" w:type="dxa"/>
            <w:vAlign w:val="top"/>
            <w:tcBorders>
              <w:bottom w:val="single" w:color="FFFFFF" w:sz="2" w:space="0"/>
            </w:tcBorders>
          </w:tcPr>
          <w:p>
            <w:pPr>
              <w:pStyle w:val="TableText"/>
              <w:ind w:left="3251"/>
              <w:spacing w:before="109" w:line="186" w:lineRule="auto"/>
              <w:rPr/>
            </w:pPr>
            <w:r>
              <w:rPr>
                <w:b/>
                <w:bCs/>
                <w:color w:val="FFFFFF"/>
                <w:spacing w:val="8"/>
              </w:rPr>
              <w:t>违规行为</w:t>
            </w:r>
          </w:p>
        </w:tc>
      </w:tr>
      <w:tr>
        <w:trPr>
          <w:trHeight w:val="439" w:hRule="atLeast"/>
        </w:trPr>
        <w:tc>
          <w:tcPr>
            <w:shd w:val="clear" w:fill="B8CCE4"/>
            <w:tcW w:w="1622" w:type="dxa"/>
            <w:vAlign w:val="top"/>
            <w:tcBorders>
              <w:top w:val="single" w:color="FFFFFF" w:sz="2" w:space="0"/>
            </w:tcBorders>
          </w:tcPr>
          <w:p>
            <w:pPr>
              <w:pStyle w:val="TableText"/>
              <w:ind w:left="444"/>
              <w:spacing w:before="135" w:line="179" w:lineRule="auto"/>
              <w:rPr/>
            </w:pPr>
            <w:r>
              <w:rPr>
                <w:spacing w:val="3"/>
              </w:rPr>
              <w:t>601615</w:t>
            </w:r>
          </w:p>
        </w:tc>
        <w:tc>
          <w:tcPr>
            <w:shd w:val="clear" w:fill="B8CCE4"/>
            <w:tcW w:w="1798" w:type="dxa"/>
            <w:vAlign w:val="top"/>
            <w:tcBorders>
              <w:top w:val="single" w:color="FFFFFF" w:sz="2" w:space="0"/>
            </w:tcBorders>
          </w:tcPr>
          <w:p>
            <w:pPr>
              <w:pStyle w:val="TableText"/>
              <w:ind w:left="482"/>
              <w:spacing w:before="121" w:line="190" w:lineRule="auto"/>
              <w:rPr/>
            </w:pPr>
            <w:r>
              <w:rPr>
                <w:spacing w:val="5"/>
              </w:rPr>
              <w:t>明阳智能</w:t>
            </w:r>
          </w:p>
        </w:tc>
        <w:tc>
          <w:tcPr>
            <w:shd w:val="clear" w:fill="B8CCE4"/>
            <w:tcW w:w="7356" w:type="dxa"/>
            <w:vAlign w:val="top"/>
            <w:tcBorders>
              <w:top w:val="single" w:color="FFFFFF" w:sz="2" w:space="0"/>
            </w:tcBorders>
          </w:tcPr>
          <w:p>
            <w:pPr>
              <w:pStyle w:val="TableText"/>
              <w:ind w:left="108"/>
              <w:spacing w:before="160" w:line="188" w:lineRule="auto"/>
              <w:rPr/>
            </w:pPr>
            <w:r>
              <w:rPr>
                <w:spacing w:val="7"/>
              </w:rPr>
              <w:t>时任监事</w:t>
            </w:r>
            <w:r>
              <w:rPr>
                <w:b/>
                <w:bCs/>
                <w:spacing w:val="7"/>
              </w:rPr>
              <w:t>短线交易。</w:t>
            </w:r>
          </w:p>
        </w:tc>
      </w:tr>
      <w:tr>
        <w:trPr>
          <w:trHeight w:val="363" w:hRule="atLeast"/>
        </w:trPr>
        <w:tc>
          <w:tcPr>
            <w:tcW w:w="10776" w:type="dxa"/>
            <w:vAlign w:val="top"/>
            <w:gridSpan w:val="3"/>
          </w:tcPr>
          <w:p>
            <w:pPr>
              <w:pStyle w:val="TableText"/>
              <w:ind w:left="121"/>
              <w:spacing w:before="42" w:line="217" w:lineRule="auto"/>
              <w:rPr/>
            </w:pPr>
            <w:r>
              <w:rPr>
                <w:b/>
                <w:bCs/>
                <w:spacing w:val="7"/>
              </w:rPr>
              <w:t>【行政处罚决定】</w:t>
            </w:r>
            <w:r>
              <w:rPr>
                <w:b/>
                <w:bCs/>
                <w:spacing w:val="-32"/>
              </w:rPr>
              <w:t xml:space="preserve"> </w:t>
            </w:r>
            <w:r>
              <w:rPr>
                <w:spacing w:val="7"/>
              </w:rPr>
              <w:t>中国证券监督管理委员会广东监管局决定:对郑某力给予警告， 并处以10</w:t>
            </w:r>
            <w:r>
              <w:rPr>
                <w:spacing w:val="6"/>
              </w:rPr>
              <w:t>万元罚款。</w:t>
            </w:r>
          </w:p>
        </w:tc>
      </w:tr>
      <w:tr>
        <w:trPr>
          <w:trHeight w:val="434" w:hRule="atLeast"/>
        </w:trPr>
        <w:tc>
          <w:tcPr>
            <w:shd w:val="clear" w:fill="B8CCE4"/>
            <w:tcW w:w="1622" w:type="dxa"/>
            <w:vAlign w:val="top"/>
          </w:tcPr>
          <w:p>
            <w:pPr>
              <w:pStyle w:val="TableText"/>
              <w:ind w:left="444"/>
              <w:spacing w:before="138" w:line="178" w:lineRule="auto"/>
              <w:rPr/>
            </w:pPr>
            <w:r>
              <w:rPr>
                <w:spacing w:val="3"/>
              </w:rPr>
              <w:t>603555</w:t>
            </w:r>
          </w:p>
        </w:tc>
        <w:tc>
          <w:tcPr>
            <w:shd w:val="clear" w:fill="B8CCE4"/>
            <w:tcW w:w="1798" w:type="dxa"/>
            <w:vAlign w:val="top"/>
          </w:tcPr>
          <w:p>
            <w:pPr>
              <w:pStyle w:val="TableText"/>
              <w:ind w:left="568"/>
              <w:spacing w:before="124" w:line="188" w:lineRule="auto"/>
              <w:rPr/>
            </w:pPr>
            <w:r>
              <w:rPr/>
              <w:t>ST</w:t>
            </w:r>
            <w:r>
              <w:rPr>
                <w:spacing w:val="8"/>
              </w:rPr>
              <w:t>贵人</w:t>
            </w:r>
          </w:p>
        </w:tc>
        <w:tc>
          <w:tcPr>
            <w:shd w:val="clear" w:fill="B8CCE4"/>
            <w:tcW w:w="7356" w:type="dxa"/>
            <w:vAlign w:val="top"/>
          </w:tcPr>
          <w:p>
            <w:pPr>
              <w:pStyle w:val="TableText"/>
              <w:ind w:left="112"/>
              <w:spacing w:before="160" w:line="184" w:lineRule="auto"/>
              <w:rPr/>
            </w:pPr>
            <w:r>
              <w:rPr>
                <w:b/>
                <w:bCs/>
                <w:spacing w:val="6"/>
              </w:rPr>
              <w:t>内幕交易</w:t>
            </w:r>
            <w:r>
              <w:rPr>
                <w:spacing w:val="6"/>
              </w:rPr>
              <w:t>公司股票。</w:t>
            </w:r>
          </w:p>
        </w:tc>
      </w:tr>
      <w:tr>
        <w:trPr>
          <w:trHeight w:val="731" w:hRule="atLeast"/>
        </w:trPr>
        <w:tc>
          <w:tcPr>
            <w:tcW w:w="10776" w:type="dxa"/>
            <w:vAlign w:val="top"/>
            <w:gridSpan w:val="3"/>
          </w:tcPr>
          <w:p>
            <w:pPr>
              <w:pStyle w:val="TableText"/>
              <w:ind w:left="122" w:right="104" w:hanging="1"/>
              <w:spacing w:before="48" w:line="235" w:lineRule="auto"/>
              <w:rPr/>
            </w:pPr>
            <w:r>
              <w:rPr>
                <w:b/>
                <w:bCs/>
                <w:spacing w:val="3"/>
              </w:rPr>
              <w:t>【</w:t>
            </w:r>
            <w:r>
              <w:rPr>
                <w:b/>
                <w:bCs/>
                <w:spacing w:val="-13"/>
              </w:rPr>
              <w:t xml:space="preserve"> </w:t>
            </w:r>
            <w:r>
              <w:rPr>
                <w:b/>
                <w:bCs/>
                <w:spacing w:val="3"/>
              </w:rPr>
              <w:t>行</w:t>
            </w:r>
            <w:r>
              <w:rPr>
                <w:b/>
                <w:bCs/>
                <w:spacing w:val="-27"/>
              </w:rPr>
              <w:t xml:space="preserve"> </w:t>
            </w:r>
            <w:r>
              <w:rPr>
                <w:b/>
                <w:bCs/>
                <w:spacing w:val="3"/>
              </w:rPr>
              <w:t>政</w:t>
            </w:r>
            <w:r>
              <w:rPr>
                <w:b/>
                <w:bCs/>
                <w:spacing w:val="-27"/>
              </w:rPr>
              <w:t xml:space="preserve"> </w:t>
            </w:r>
            <w:r>
              <w:rPr>
                <w:b/>
                <w:bCs/>
                <w:spacing w:val="3"/>
              </w:rPr>
              <w:t>处</w:t>
            </w:r>
            <w:r>
              <w:rPr>
                <w:b/>
                <w:bCs/>
                <w:spacing w:val="-21"/>
              </w:rPr>
              <w:t xml:space="preserve"> </w:t>
            </w:r>
            <w:r>
              <w:rPr>
                <w:b/>
                <w:bCs/>
                <w:spacing w:val="3"/>
              </w:rPr>
              <w:t>罚</w:t>
            </w:r>
            <w:r>
              <w:rPr>
                <w:b/>
                <w:bCs/>
                <w:spacing w:val="-26"/>
              </w:rPr>
              <w:t xml:space="preserve"> </w:t>
            </w:r>
            <w:r>
              <w:rPr>
                <w:b/>
                <w:bCs/>
                <w:spacing w:val="3"/>
              </w:rPr>
              <w:t>决</w:t>
            </w:r>
            <w:r>
              <w:rPr>
                <w:b/>
                <w:bCs/>
                <w:spacing w:val="-28"/>
              </w:rPr>
              <w:t xml:space="preserve"> </w:t>
            </w:r>
            <w:r>
              <w:rPr>
                <w:b/>
                <w:bCs/>
                <w:spacing w:val="3"/>
              </w:rPr>
              <w:t>定</w:t>
            </w:r>
            <w:r>
              <w:rPr>
                <w:b/>
                <w:bCs/>
                <w:spacing w:val="-16"/>
              </w:rPr>
              <w:t xml:space="preserve"> </w:t>
            </w:r>
            <w:r>
              <w:rPr>
                <w:b/>
                <w:bCs/>
                <w:spacing w:val="3"/>
              </w:rPr>
              <w:t>】 </w:t>
            </w:r>
            <w:r>
              <w:rPr>
                <w:spacing w:val="3"/>
              </w:rPr>
              <w:t>中</w:t>
            </w:r>
            <w:r>
              <w:rPr>
                <w:spacing w:val="-15"/>
              </w:rPr>
              <w:t xml:space="preserve"> </w:t>
            </w:r>
            <w:r>
              <w:rPr>
                <w:spacing w:val="3"/>
              </w:rPr>
              <w:t>国</w:t>
            </w:r>
            <w:r>
              <w:rPr>
                <w:spacing w:val="-25"/>
              </w:rPr>
              <w:t xml:space="preserve"> </w:t>
            </w:r>
            <w:r>
              <w:rPr>
                <w:spacing w:val="3"/>
              </w:rPr>
              <w:t>证</w:t>
            </w:r>
            <w:r>
              <w:rPr>
                <w:spacing w:val="-28"/>
              </w:rPr>
              <w:t xml:space="preserve"> </w:t>
            </w:r>
            <w:r>
              <w:rPr>
                <w:spacing w:val="3"/>
              </w:rPr>
              <w:t>券</w:t>
            </w:r>
            <w:r>
              <w:rPr>
                <w:spacing w:val="-23"/>
              </w:rPr>
              <w:t xml:space="preserve"> </w:t>
            </w:r>
            <w:r>
              <w:rPr>
                <w:spacing w:val="3"/>
              </w:rPr>
              <w:t>监</w:t>
            </w:r>
            <w:r>
              <w:rPr>
                <w:spacing w:val="-29"/>
              </w:rPr>
              <w:t xml:space="preserve"> </w:t>
            </w:r>
            <w:r>
              <w:rPr>
                <w:spacing w:val="3"/>
              </w:rPr>
              <w:t>督</w:t>
            </w:r>
            <w:r>
              <w:rPr>
                <w:spacing w:val="-25"/>
              </w:rPr>
              <w:t xml:space="preserve"> </w:t>
            </w:r>
            <w:r>
              <w:rPr>
                <w:spacing w:val="3"/>
              </w:rPr>
              <w:t>管</w:t>
            </w:r>
            <w:r>
              <w:rPr>
                <w:spacing w:val="-29"/>
              </w:rPr>
              <w:t xml:space="preserve"> </w:t>
            </w:r>
            <w:r>
              <w:rPr>
                <w:spacing w:val="3"/>
              </w:rPr>
              <w:t>理</w:t>
            </w:r>
            <w:r>
              <w:rPr>
                <w:spacing w:val="-24"/>
              </w:rPr>
              <w:t xml:space="preserve"> </w:t>
            </w:r>
            <w:r>
              <w:rPr>
                <w:spacing w:val="3"/>
              </w:rPr>
              <w:t>委</w:t>
            </w:r>
            <w:r>
              <w:rPr>
                <w:spacing w:val="-26"/>
              </w:rPr>
              <w:t xml:space="preserve"> </w:t>
            </w:r>
            <w:r>
              <w:rPr>
                <w:spacing w:val="3"/>
              </w:rPr>
              <w:t>员</w:t>
            </w:r>
            <w:r>
              <w:rPr>
                <w:spacing w:val="-26"/>
              </w:rPr>
              <w:t xml:space="preserve"> </w:t>
            </w:r>
            <w:r>
              <w:rPr>
                <w:spacing w:val="3"/>
              </w:rPr>
              <w:t>会</w:t>
            </w:r>
            <w:r>
              <w:rPr>
                <w:spacing w:val="-24"/>
              </w:rPr>
              <w:t xml:space="preserve"> </w:t>
            </w:r>
            <w:r>
              <w:rPr>
                <w:spacing w:val="3"/>
              </w:rPr>
              <w:t>青</w:t>
            </w:r>
            <w:r>
              <w:rPr>
                <w:spacing w:val="-26"/>
              </w:rPr>
              <w:t xml:space="preserve"> </w:t>
            </w:r>
            <w:r>
              <w:rPr>
                <w:spacing w:val="3"/>
              </w:rPr>
              <w:t>海</w:t>
            </w:r>
            <w:r>
              <w:rPr>
                <w:spacing w:val="-26"/>
              </w:rPr>
              <w:t xml:space="preserve"> </w:t>
            </w:r>
            <w:r>
              <w:rPr>
                <w:spacing w:val="3"/>
              </w:rPr>
              <w:t>监</w:t>
            </w:r>
            <w:r>
              <w:rPr>
                <w:spacing w:val="-25"/>
              </w:rPr>
              <w:t xml:space="preserve"> </w:t>
            </w:r>
            <w:r>
              <w:rPr>
                <w:spacing w:val="3"/>
              </w:rPr>
              <w:t>管</w:t>
            </w:r>
            <w:r>
              <w:rPr>
                <w:spacing w:val="-27"/>
              </w:rPr>
              <w:t xml:space="preserve"> </w:t>
            </w:r>
            <w:r>
              <w:rPr>
                <w:spacing w:val="3"/>
              </w:rPr>
              <w:t>局</w:t>
            </w:r>
            <w:r>
              <w:rPr>
                <w:spacing w:val="-25"/>
              </w:rPr>
              <w:t xml:space="preserve"> </w:t>
            </w:r>
            <w:r>
              <w:rPr>
                <w:spacing w:val="3"/>
              </w:rPr>
              <w:t>决</w:t>
            </w:r>
            <w:r>
              <w:rPr>
                <w:spacing w:val="-28"/>
              </w:rPr>
              <w:t xml:space="preserve"> </w:t>
            </w:r>
            <w:r>
              <w:rPr>
                <w:spacing w:val="3"/>
              </w:rPr>
              <w:t>定</w:t>
            </w:r>
            <w:r>
              <w:rPr>
                <w:spacing w:val="-16"/>
              </w:rPr>
              <w:t xml:space="preserve"> </w:t>
            </w:r>
            <w:r>
              <w:rPr>
                <w:spacing w:val="3"/>
              </w:rPr>
              <w:t>:</w:t>
            </w:r>
            <w:r>
              <w:rPr>
                <w:spacing w:val="-27"/>
              </w:rPr>
              <w:t xml:space="preserve"> </w:t>
            </w:r>
            <w:r>
              <w:rPr>
                <w:spacing w:val="3"/>
              </w:rPr>
              <w:t>没</w:t>
            </w:r>
            <w:r>
              <w:rPr>
                <w:spacing w:val="-23"/>
              </w:rPr>
              <w:t xml:space="preserve"> </w:t>
            </w:r>
            <w:r>
              <w:rPr>
                <w:spacing w:val="3"/>
              </w:rPr>
              <w:t>收</w:t>
            </w:r>
            <w:r>
              <w:rPr>
                <w:spacing w:val="-25"/>
              </w:rPr>
              <w:t xml:space="preserve"> </w:t>
            </w:r>
            <w:r>
              <w:rPr>
                <w:spacing w:val="3"/>
              </w:rPr>
              <w:t>傅</w:t>
            </w:r>
            <w:r>
              <w:rPr>
                <w:spacing w:val="-27"/>
              </w:rPr>
              <w:t xml:space="preserve"> </w:t>
            </w:r>
            <w:r>
              <w:rPr>
                <w:spacing w:val="3"/>
              </w:rPr>
              <w:t>某</w:t>
            </w:r>
            <w:r>
              <w:rPr>
                <w:spacing w:val="-24"/>
              </w:rPr>
              <w:t xml:space="preserve"> </w:t>
            </w:r>
            <w:r>
              <w:rPr>
                <w:spacing w:val="3"/>
              </w:rPr>
              <w:t>越</w:t>
            </w:r>
            <w:r>
              <w:rPr>
                <w:spacing w:val="-28"/>
              </w:rPr>
              <w:t xml:space="preserve"> </w:t>
            </w:r>
            <w:r>
              <w:rPr>
                <w:spacing w:val="3"/>
              </w:rPr>
              <w:t>违</w:t>
            </w:r>
            <w:r>
              <w:rPr>
                <w:spacing w:val="-26"/>
              </w:rPr>
              <w:t xml:space="preserve"> </w:t>
            </w:r>
            <w:r>
              <w:rPr>
                <w:spacing w:val="3"/>
              </w:rPr>
              <w:t>法</w:t>
            </w:r>
            <w:r>
              <w:rPr>
                <w:spacing w:val="-28"/>
              </w:rPr>
              <w:t xml:space="preserve"> </w:t>
            </w:r>
            <w:r>
              <w:rPr>
                <w:spacing w:val="3"/>
              </w:rPr>
              <w:t>所</w:t>
            </w:r>
            <w:r>
              <w:rPr>
                <w:spacing w:val="-25"/>
              </w:rPr>
              <w:t xml:space="preserve"> </w:t>
            </w:r>
            <w:r>
              <w:rPr>
                <w:spacing w:val="3"/>
              </w:rPr>
              <w:t>得</w:t>
            </w:r>
            <w:r>
              <w:rPr>
                <w:spacing w:val="-21"/>
              </w:rPr>
              <w:t xml:space="preserve"> </w:t>
            </w:r>
            <w:r>
              <w:rPr>
                <w:spacing w:val="3"/>
              </w:rPr>
              <w:t>902,399.01</w:t>
            </w:r>
            <w:r>
              <w:rPr>
                <w:spacing w:val="-24"/>
              </w:rPr>
              <w:t xml:space="preserve"> </w:t>
            </w:r>
            <w:r>
              <w:rPr>
                <w:spacing w:val="3"/>
              </w:rPr>
              <w:t>元</w:t>
            </w:r>
            <w:r>
              <w:rPr>
                <w:spacing w:val="-27"/>
              </w:rPr>
              <w:t xml:space="preserve"> </w:t>
            </w:r>
            <w:r>
              <w:rPr>
                <w:spacing w:val="3"/>
              </w:rPr>
              <w:t>,</w:t>
            </w:r>
            <w:r>
              <w:rPr>
                <w:spacing w:val="-26"/>
              </w:rPr>
              <w:t xml:space="preserve"> </w:t>
            </w:r>
            <w:r>
              <w:rPr>
                <w:spacing w:val="3"/>
              </w:rPr>
              <w:t>并</w:t>
            </w:r>
            <w:r>
              <w:rPr>
                <w:spacing w:val="-28"/>
              </w:rPr>
              <w:t xml:space="preserve"> </w:t>
            </w:r>
            <w:r>
              <w:rPr>
                <w:spacing w:val="3"/>
              </w:rPr>
              <w:t>处</w:t>
            </w:r>
            <w:r>
              <w:rPr>
                <w:spacing w:val="-18"/>
              </w:rPr>
              <w:t xml:space="preserve"> </w:t>
            </w:r>
            <w:r>
              <w:rPr>
                <w:spacing w:val="3"/>
              </w:rPr>
              <w:t>以</w:t>
            </w:r>
            <w:r>
              <w:rPr/>
              <w:t xml:space="preserve"> </w:t>
            </w:r>
            <w:r>
              <w:rPr>
                <w:spacing w:val="4"/>
              </w:rPr>
              <w:t>1,804,798.02元罚款。</w:t>
            </w:r>
          </w:p>
        </w:tc>
      </w:tr>
    </w:tbl>
    <w:p>
      <w:pPr>
        <w:pStyle w:val="BodyText"/>
        <w:spacing w:line="301" w:lineRule="auto"/>
        <w:rPr/>
      </w:pPr>
      <w:r/>
    </w:p>
    <w:p>
      <w:pPr>
        <w:ind w:left="956"/>
        <w:spacing w:before="103"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9"/>
        </w:rPr>
        <w:t>（2） 行政处罚事先告知书</w:t>
      </w:r>
    </w:p>
    <w:p>
      <w:pPr>
        <w:spacing w:line="185" w:lineRule="exact"/>
        <w:rPr/>
      </w:pPr>
      <w:r/>
    </w:p>
    <w:tbl>
      <w:tblPr>
        <w:tblStyle w:val="TableNormal"/>
        <w:tblW w:w="10776" w:type="dxa"/>
        <w:tblInd w:w="466"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622"/>
        <w:gridCol w:w="1798"/>
        <w:gridCol w:w="7356"/>
      </w:tblGrid>
      <w:tr>
        <w:trPr>
          <w:trHeight w:val="385" w:hRule="atLeast"/>
        </w:trPr>
        <w:tc>
          <w:tcPr>
            <w:shd w:val="clear" w:fill="4F81BD"/>
            <w:tcW w:w="1622" w:type="dxa"/>
            <w:vAlign w:val="top"/>
            <w:tcBorders>
              <w:bottom w:val="single" w:color="FFFFFF" w:sz="2" w:space="0"/>
            </w:tcBorders>
          </w:tcPr>
          <w:p>
            <w:pPr>
              <w:pStyle w:val="TableText"/>
              <w:ind w:left="386"/>
              <w:spacing w:before="109" w:line="186" w:lineRule="auto"/>
              <w:rPr/>
            </w:pPr>
            <w:r>
              <w:rPr>
                <w:b/>
                <w:bCs/>
                <w:color w:val="FFFFFF"/>
                <w:spacing w:val="8"/>
              </w:rPr>
              <w:t>公司代码</w:t>
            </w:r>
          </w:p>
        </w:tc>
        <w:tc>
          <w:tcPr>
            <w:shd w:val="clear" w:fill="4F81BD"/>
            <w:tcW w:w="1798" w:type="dxa"/>
            <w:vAlign w:val="top"/>
            <w:tcBorders>
              <w:bottom w:val="single" w:color="FFFFFF" w:sz="2" w:space="0"/>
            </w:tcBorders>
          </w:tcPr>
          <w:p>
            <w:pPr>
              <w:pStyle w:val="TableText"/>
              <w:ind w:left="470"/>
              <w:spacing w:before="110" w:line="185" w:lineRule="auto"/>
              <w:rPr/>
            </w:pPr>
            <w:r>
              <w:rPr>
                <w:b/>
                <w:bCs/>
                <w:color w:val="FFFFFF"/>
                <w:spacing w:val="8"/>
              </w:rPr>
              <w:t>公司简称</w:t>
            </w:r>
          </w:p>
        </w:tc>
        <w:tc>
          <w:tcPr>
            <w:shd w:val="clear" w:fill="4F81BD"/>
            <w:tcW w:w="7356" w:type="dxa"/>
            <w:vAlign w:val="top"/>
            <w:tcBorders>
              <w:bottom w:val="single" w:color="FFFFFF" w:sz="2" w:space="0"/>
            </w:tcBorders>
          </w:tcPr>
          <w:p>
            <w:pPr>
              <w:pStyle w:val="TableText"/>
              <w:ind w:left="3251"/>
              <w:spacing w:before="109" w:line="186" w:lineRule="auto"/>
              <w:rPr/>
            </w:pPr>
            <w:r>
              <w:rPr>
                <w:b/>
                <w:bCs/>
                <w:color w:val="FFFFFF"/>
                <w:spacing w:val="8"/>
              </w:rPr>
              <w:t>违规行为</w:t>
            </w:r>
          </w:p>
        </w:tc>
      </w:tr>
      <w:tr>
        <w:trPr>
          <w:trHeight w:val="798" w:hRule="atLeast"/>
        </w:trPr>
        <w:tc>
          <w:tcPr>
            <w:shd w:val="clear" w:fill="B8CCE4"/>
            <w:tcW w:w="1622" w:type="dxa"/>
            <w:vAlign w:val="top"/>
            <w:tcBorders>
              <w:top w:val="single" w:color="FFFFFF" w:sz="2" w:space="0"/>
            </w:tcBorders>
          </w:tcPr>
          <w:p>
            <w:pPr>
              <w:pStyle w:val="TableText"/>
              <w:ind w:left="444"/>
              <w:spacing w:before="320" w:line="178" w:lineRule="auto"/>
              <w:rPr/>
            </w:pPr>
            <w:r>
              <w:rPr>
                <w:spacing w:val="3"/>
              </w:rPr>
              <w:t>600745</w:t>
            </w:r>
          </w:p>
        </w:tc>
        <w:tc>
          <w:tcPr>
            <w:shd w:val="clear" w:fill="B8CCE4"/>
            <w:tcW w:w="1798" w:type="dxa"/>
            <w:vAlign w:val="top"/>
            <w:tcBorders>
              <w:top w:val="single" w:color="FFFFFF" w:sz="2" w:space="0"/>
            </w:tcBorders>
          </w:tcPr>
          <w:p>
            <w:pPr>
              <w:pStyle w:val="TableText"/>
              <w:ind w:left="480"/>
              <w:spacing w:before="305" w:line="189" w:lineRule="auto"/>
              <w:rPr/>
            </w:pPr>
            <w:r>
              <w:rPr>
                <w:spacing w:val="6"/>
              </w:rPr>
              <w:t>闻泰科技</w:t>
            </w:r>
          </w:p>
        </w:tc>
        <w:tc>
          <w:tcPr>
            <w:shd w:val="clear" w:fill="B8CCE4"/>
            <w:tcW w:w="7356" w:type="dxa"/>
            <w:vAlign w:val="top"/>
            <w:tcBorders>
              <w:top w:val="single" w:color="FFFFFF" w:sz="2" w:space="0"/>
            </w:tcBorders>
          </w:tcPr>
          <w:p>
            <w:pPr>
              <w:pStyle w:val="TableText"/>
              <w:ind w:left="99" w:right="308"/>
              <w:spacing w:before="158" w:line="220" w:lineRule="auto"/>
              <w:rPr/>
            </w:pPr>
            <w:r>
              <w:rPr>
                <w:spacing w:val="8"/>
              </w:rPr>
              <w:t>股东未告知公司</w:t>
            </w:r>
            <w:r>
              <w:rPr>
                <w:b/>
                <w:bCs/>
                <w:spacing w:val="8"/>
              </w:rPr>
              <w:t>一致行动关系</w:t>
            </w:r>
            <w:r>
              <w:rPr>
                <w:spacing w:val="8"/>
              </w:rPr>
              <w:t>导致闻泰科技2017年、</w:t>
            </w:r>
            <w:r>
              <w:rPr>
                <w:spacing w:val="-36"/>
              </w:rPr>
              <w:t xml:space="preserve"> </w:t>
            </w:r>
            <w:r>
              <w:rPr>
                <w:spacing w:val="8"/>
              </w:rPr>
              <w:t>2018年和2019年</w:t>
            </w:r>
            <w:r>
              <w:rPr>
                <w:spacing w:val="7"/>
              </w:rPr>
              <w:t>年度</w:t>
            </w:r>
            <w:r>
              <w:rPr/>
              <w:t xml:space="preserve"> </w:t>
            </w:r>
            <w:r>
              <w:rPr>
                <w:spacing w:val="8"/>
              </w:rPr>
              <w:t>报告存在</w:t>
            </w:r>
            <w:r>
              <w:rPr>
                <w:b/>
                <w:bCs/>
                <w:spacing w:val="8"/>
              </w:rPr>
              <w:t>重大遗漏。</w:t>
            </w:r>
          </w:p>
        </w:tc>
      </w:tr>
      <w:tr>
        <w:trPr>
          <w:trHeight w:val="1088" w:hRule="atLeast"/>
        </w:trPr>
        <w:tc>
          <w:tcPr>
            <w:tcW w:w="10776" w:type="dxa"/>
            <w:vAlign w:val="top"/>
            <w:gridSpan w:val="3"/>
          </w:tcPr>
          <w:p>
            <w:pPr>
              <w:pStyle w:val="TableText"/>
              <w:ind w:left="121"/>
              <w:spacing w:before="44" w:line="233" w:lineRule="auto"/>
              <w:rPr/>
            </w:pPr>
            <w:r>
              <w:rPr>
                <w:b/>
                <w:bCs/>
                <w:spacing w:val="1"/>
              </w:rPr>
              <w:t>【行政处罚决定 （拟） 】</w:t>
            </w:r>
            <w:r>
              <w:rPr>
                <w:b/>
                <w:bCs/>
                <w:spacing w:val="-33"/>
              </w:rPr>
              <w:t xml:space="preserve"> </w:t>
            </w:r>
            <w:r>
              <w:rPr>
                <w:spacing w:val="1"/>
              </w:rPr>
              <w:t>中国证监会拟决定：</w:t>
            </w:r>
          </w:p>
          <w:p>
            <w:pPr>
              <w:pStyle w:val="TableText"/>
              <w:ind w:left="137"/>
              <w:spacing w:before="30" w:line="229" w:lineRule="auto"/>
              <w:rPr/>
            </w:pPr>
            <w:r>
              <w:rPr>
                <w:spacing w:val="4"/>
              </w:rPr>
              <w:t>（一） 对闻天下、股东张某政、股东傅某娜责令改正， 给予警告， 并分别处以500万元罚款；</w:t>
            </w:r>
          </w:p>
          <w:p>
            <w:pPr>
              <w:pStyle w:val="TableText"/>
              <w:ind w:left="137"/>
              <w:spacing w:before="32" w:line="217" w:lineRule="auto"/>
              <w:rPr/>
            </w:pPr>
            <w:r>
              <w:rPr>
                <w:spacing w:val="5"/>
              </w:rPr>
              <w:t>（二） 对闻天下直接负责的主管人员张某政给予警</w:t>
            </w:r>
            <w:r>
              <w:rPr>
                <w:spacing w:val="4"/>
              </w:rPr>
              <w:t>告， 并处以300万元罚款。</w:t>
            </w:r>
          </w:p>
        </w:tc>
      </w:tr>
    </w:tbl>
    <w:p>
      <w:pPr>
        <w:pStyle w:val="BodyText"/>
        <w:spacing w:line="302" w:lineRule="auto"/>
        <w:rPr/>
      </w:pPr>
      <w:r/>
    </w:p>
    <w:p>
      <w:pPr>
        <w:ind w:left="956"/>
        <w:spacing w:before="104"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1"/>
        </w:rPr>
        <w:t>（3） 行政监管措施</w:t>
      </w:r>
    </w:p>
    <w:p>
      <w:pPr>
        <w:spacing w:line="184" w:lineRule="exact"/>
        <w:rPr/>
      </w:pPr>
      <w:r/>
    </w:p>
    <w:tbl>
      <w:tblPr>
        <w:tblStyle w:val="TableNormal"/>
        <w:tblW w:w="10776" w:type="dxa"/>
        <w:tblInd w:w="466"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622"/>
        <w:gridCol w:w="1798"/>
        <w:gridCol w:w="7356"/>
      </w:tblGrid>
      <w:tr>
        <w:trPr>
          <w:trHeight w:val="387" w:hRule="atLeast"/>
        </w:trPr>
        <w:tc>
          <w:tcPr>
            <w:shd w:val="clear" w:fill="4F81BD"/>
            <w:tcW w:w="1622" w:type="dxa"/>
            <w:vAlign w:val="top"/>
            <w:tcBorders>
              <w:bottom w:val="single" w:color="FFFFFF" w:sz="2" w:space="0"/>
            </w:tcBorders>
          </w:tcPr>
          <w:p>
            <w:pPr>
              <w:pStyle w:val="TableText"/>
              <w:ind w:left="386"/>
              <w:spacing w:before="111" w:line="186" w:lineRule="auto"/>
              <w:rPr/>
            </w:pPr>
            <w:r>
              <w:rPr>
                <w:b/>
                <w:bCs/>
                <w:color w:val="FFFFFF"/>
                <w:spacing w:val="8"/>
              </w:rPr>
              <w:t>公司代码</w:t>
            </w:r>
          </w:p>
        </w:tc>
        <w:tc>
          <w:tcPr>
            <w:shd w:val="clear" w:fill="4F81BD"/>
            <w:tcW w:w="1798" w:type="dxa"/>
            <w:vAlign w:val="top"/>
            <w:tcBorders>
              <w:bottom w:val="single" w:color="FFFFFF" w:sz="2" w:space="0"/>
            </w:tcBorders>
          </w:tcPr>
          <w:p>
            <w:pPr>
              <w:pStyle w:val="TableText"/>
              <w:ind w:left="470"/>
              <w:spacing w:before="111" w:line="186" w:lineRule="auto"/>
              <w:rPr/>
            </w:pPr>
            <w:r>
              <w:rPr>
                <w:b/>
                <w:bCs/>
                <w:color w:val="FFFFFF"/>
                <w:spacing w:val="8"/>
              </w:rPr>
              <w:t>公司简称</w:t>
            </w:r>
          </w:p>
        </w:tc>
        <w:tc>
          <w:tcPr>
            <w:shd w:val="clear" w:fill="4F81BD"/>
            <w:tcW w:w="7356" w:type="dxa"/>
            <w:vAlign w:val="top"/>
            <w:tcBorders>
              <w:bottom w:val="single" w:color="FFFFFF" w:sz="2" w:space="0"/>
            </w:tcBorders>
          </w:tcPr>
          <w:p>
            <w:pPr>
              <w:pStyle w:val="TableText"/>
              <w:ind w:left="3251"/>
              <w:spacing w:before="111" w:line="186" w:lineRule="auto"/>
              <w:rPr/>
            </w:pPr>
            <w:r>
              <w:rPr>
                <w:b/>
                <w:bCs/>
                <w:color w:val="FFFFFF"/>
                <w:spacing w:val="8"/>
              </w:rPr>
              <w:t>违规行为</w:t>
            </w:r>
          </w:p>
        </w:tc>
      </w:tr>
      <w:tr>
        <w:trPr>
          <w:trHeight w:val="801" w:hRule="atLeast"/>
        </w:trPr>
        <w:tc>
          <w:tcPr>
            <w:shd w:val="clear" w:fill="B8CCE4"/>
            <w:tcW w:w="1622" w:type="dxa"/>
            <w:vAlign w:val="top"/>
            <w:tcBorders>
              <w:top w:val="single" w:color="FFFFFF" w:sz="2" w:space="0"/>
            </w:tcBorders>
          </w:tcPr>
          <w:p>
            <w:pPr>
              <w:pStyle w:val="TableText"/>
              <w:ind w:left="447"/>
              <w:spacing w:before="315" w:line="179" w:lineRule="auto"/>
              <w:rPr/>
            </w:pPr>
            <w:r>
              <w:rPr>
                <w:spacing w:val="3"/>
              </w:rPr>
              <w:t>301040</w:t>
            </w:r>
          </w:p>
        </w:tc>
        <w:tc>
          <w:tcPr>
            <w:shd w:val="clear" w:fill="B8CCE4"/>
            <w:tcW w:w="1798" w:type="dxa"/>
            <w:vAlign w:val="top"/>
            <w:tcBorders>
              <w:top w:val="single" w:color="FFFFFF" w:sz="2" w:space="0"/>
            </w:tcBorders>
          </w:tcPr>
          <w:p>
            <w:pPr>
              <w:pStyle w:val="TableText"/>
              <w:ind w:left="483"/>
              <w:spacing w:before="301" w:line="189" w:lineRule="auto"/>
              <w:rPr/>
            </w:pPr>
            <w:r>
              <w:rPr>
                <w:spacing w:val="5"/>
              </w:rPr>
              <w:t>中海海陆</w:t>
            </w:r>
          </w:p>
        </w:tc>
        <w:tc>
          <w:tcPr>
            <w:shd w:val="clear" w:fill="B8CCE4"/>
            <w:tcW w:w="7356" w:type="dxa"/>
            <w:vAlign w:val="top"/>
            <w:tcBorders>
              <w:top w:val="single" w:color="FFFFFF" w:sz="2" w:space="0"/>
            </w:tcBorders>
          </w:tcPr>
          <w:p>
            <w:pPr>
              <w:pStyle w:val="TableText"/>
              <w:ind w:left="102" w:right="214" w:firstLine="11"/>
              <w:spacing w:before="159" w:line="221" w:lineRule="auto"/>
              <w:rPr/>
            </w:pPr>
            <w:r>
              <w:rPr>
                <w:spacing w:val="9"/>
              </w:rPr>
              <w:t>中环海陆首次业绩预告与实际业绩</w:t>
            </w:r>
            <w:r>
              <w:rPr>
                <w:b/>
                <w:bCs/>
                <w:spacing w:val="9"/>
              </w:rPr>
              <w:t>差异金额较大</w:t>
            </w:r>
            <w:r>
              <w:rPr>
                <w:spacing w:val="9"/>
              </w:rPr>
              <w:t>,且</w:t>
            </w:r>
            <w:r>
              <w:rPr>
                <w:b/>
                <w:bCs/>
                <w:spacing w:val="9"/>
              </w:rPr>
              <w:t>盈亏性质</w:t>
            </w:r>
            <w:r>
              <w:rPr>
                <w:spacing w:val="9"/>
              </w:rPr>
              <w:t>发生变化,业绩预</w:t>
            </w:r>
            <w:r>
              <w:rPr/>
              <w:t xml:space="preserve"> </w:t>
            </w:r>
            <w:r>
              <w:rPr>
                <w:spacing w:val="8"/>
              </w:rPr>
              <w:t>告信息披露不准确。</w:t>
            </w:r>
          </w:p>
        </w:tc>
      </w:tr>
      <w:tr>
        <w:trPr>
          <w:trHeight w:val="723" w:hRule="atLeast"/>
        </w:trPr>
        <w:tc>
          <w:tcPr>
            <w:tcW w:w="10776" w:type="dxa"/>
            <w:vAlign w:val="top"/>
            <w:gridSpan w:val="3"/>
          </w:tcPr>
          <w:p>
            <w:pPr>
              <w:pStyle w:val="TableText"/>
              <w:ind w:left="103" w:right="104" w:firstLine="18"/>
              <w:spacing w:before="40" w:line="235" w:lineRule="auto"/>
              <w:rPr/>
            </w:pPr>
            <w:r>
              <w:rPr>
                <w:b/>
                <w:bCs/>
                <w:spacing w:val="10"/>
              </w:rPr>
              <w:t>【行政监管措施】</w:t>
            </w:r>
            <w:r>
              <w:rPr>
                <w:b/>
                <w:bCs/>
                <w:spacing w:val="-26"/>
              </w:rPr>
              <w:t xml:space="preserve"> </w:t>
            </w:r>
            <w:r>
              <w:rPr>
                <w:spacing w:val="10"/>
              </w:rPr>
              <w:t>中国证券监督管理委员会江苏监管局决定对张家港中环海陆高端装备股份有限公司、董事会秘书</w:t>
            </w:r>
            <w:r>
              <w:rPr/>
              <w:t xml:space="preserve"> </w:t>
            </w:r>
            <w:r>
              <w:rPr>
                <w:spacing w:val="9"/>
              </w:rPr>
              <w:t>钟某采取出具警示函的行政监管措施。</w:t>
            </w:r>
          </w:p>
        </w:tc>
      </w:tr>
      <w:tr>
        <w:trPr>
          <w:trHeight w:val="724" w:hRule="atLeast"/>
        </w:trPr>
        <w:tc>
          <w:tcPr>
            <w:shd w:val="clear" w:fill="B8CCE4"/>
            <w:tcW w:w="1622" w:type="dxa"/>
            <w:vAlign w:val="top"/>
          </w:tcPr>
          <w:p>
            <w:pPr>
              <w:pStyle w:val="TableText"/>
              <w:ind w:left="447"/>
              <w:spacing w:before="277" w:line="179" w:lineRule="auto"/>
              <w:rPr/>
            </w:pPr>
            <w:r>
              <w:rPr>
                <w:spacing w:val="3"/>
              </w:rPr>
              <w:t>300091</w:t>
            </w:r>
          </w:p>
        </w:tc>
        <w:tc>
          <w:tcPr>
            <w:shd w:val="clear" w:fill="B8CCE4"/>
            <w:tcW w:w="1798" w:type="dxa"/>
            <w:vAlign w:val="top"/>
          </w:tcPr>
          <w:p>
            <w:pPr>
              <w:pStyle w:val="TableText"/>
              <w:ind w:left="574"/>
              <w:spacing w:before="266" w:line="188" w:lineRule="auto"/>
              <w:rPr/>
            </w:pPr>
            <w:r>
              <w:rPr>
                <w:spacing w:val="9"/>
              </w:rPr>
              <w:t>金通灵</w:t>
            </w:r>
          </w:p>
        </w:tc>
        <w:tc>
          <w:tcPr>
            <w:shd w:val="clear" w:fill="B8CCE4"/>
            <w:tcW w:w="7356" w:type="dxa"/>
            <w:vAlign w:val="top"/>
          </w:tcPr>
          <w:p>
            <w:pPr>
              <w:pStyle w:val="TableText"/>
              <w:ind w:left="99" w:right="104" w:hanging="1"/>
              <w:spacing w:before="84" w:line="220" w:lineRule="auto"/>
              <w:rPr/>
            </w:pPr>
            <w:r>
              <w:rPr>
                <w:spacing w:val="14"/>
              </w:rPr>
              <w:t>金通灵科技集团股份有限公司</w:t>
            </w:r>
            <w:r>
              <w:rPr>
                <w:b/>
                <w:bCs/>
                <w:spacing w:val="14"/>
              </w:rPr>
              <w:t>业绩预告</w:t>
            </w:r>
            <w:r>
              <w:rPr>
                <w:spacing w:val="14"/>
              </w:rPr>
              <w:t>与实际业绩差异金额较大,且未进行业</w:t>
            </w:r>
            <w:r>
              <w:rPr>
                <w:spacing w:val="13"/>
              </w:rPr>
              <w:t xml:space="preserve"> </w:t>
            </w:r>
            <w:r>
              <w:rPr>
                <w:spacing w:val="9"/>
              </w:rPr>
              <w:t>绩预告</w:t>
            </w:r>
            <w:r>
              <w:rPr>
                <w:b/>
                <w:bCs/>
                <w:spacing w:val="9"/>
              </w:rPr>
              <w:t>修正</w:t>
            </w:r>
            <w:r>
              <w:rPr>
                <w:spacing w:val="9"/>
              </w:rPr>
              <w:t>,业绩预告信息披露不准确、不及时。</w:t>
            </w:r>
          </w:p>
        </w:tc>
      </w:tr>
      <w:tr>
        <w:trPr>
          <w:trHeight w:val="723" w:hRule="atLeast"/>
        </w:trPr>
        <w:tc>
          <w:tcPr>
            <w:tcW w:w="10776" w:type="dxa"/>
            <w:vAlign w:val="top"/>
            <w:gridSpan w:val="3"/>
          </w:tcPr>
          <w:p>
            <w:pPr>
              <w:pStyle w:val="TableText"/>
              <w:ind w:left="105" w:right="207" w:firstLine="15"/>
              <w:spacing w:before="43" w:line="234" w:lineRule="auto"/>
              <w:rPr/>
            </w:pPr>
            <w:r>
              <w:rPr>
                <w:b/>
                <w:bCs/>
                <w:spacing w:val="8"/>
              </w:rPr>
              <w:t>【行政监管措施】</w:t>
            </w:r>
            <w:r>
              <w:rPr>
                <w:b/>
                <w:bCs/>
                <w:spacing w:val="-29"/>
              </w:rPr>
              <w:t xml:space="preserve"> </w:t>
            </w:r>
            <w:r>
              <w:rPr>
                <w:spacing w:val="8"/>
              </w:rPr>
              <w:t>中国证券监督管理委员会江苏监管局决定对金通灵科技集团股份有限公司、财务负责人申某刚、</w:t>
            </w:r>
            <w:r>
              <w:rPr/>
              <w:t xml:space="preserve"> </w:t>
            </w:r>
            <w:r>
              <w:rPr>
                <w:spacing w:val="9"/>
              </w:rPr>
              <w:t>董事会秘书陈某军采取出具警示函的行政监管措施,并记入证券期货市场诚信档案。</w:t>
            </w:r>
          </w:p>
        </w:tc>
      </w:tr>
      <w:tr>
        <w:trPr>
          <w:trHeight w:val="724" w:hRule="atLeast"/>
        </w:trPr>
        <w:tc>
          <w:tcPr>
            <w:shd w:val="clear" w:fill="B8CCE4"/>
            <w:tcW w:w="1622" w:type="dxa"/>
            <w:vAlign w:val="top"/>
          </w:tcPr>
          <w:p>
            <w:pPr>
              <w:pStyle w:val="TableText"/>
              <w:ind w:left="444"/>
              <w:spacing w:before="283" w:line="178" w:lineRule="auto"/>
              <w:rPr/>
            </w:pPr>
            <w:r>
              <w:rPr>
                <w:spacing w:val="3"/>
              </w:rPr>
              <w:t>603666</w:t>
            </w:r>
          </w:p>
        </w:tc>
        <w:tc>
          <w:tcPr>
            <w:shd w:val="clear" w:fill="B8CCE4"/>
            <w:tcW w:w="1798" w:type="dxa"/>
            <w:vAlign w:val="top"/>
          </w:tcPr>
          <w:p>
            <w:pPr>
              <w:pStyle w:val="TableText"/>
              <w:ind w:left="575"/>
              <w:spacing w:before="269" w:line="188" w:lineRule="auto"/>
              <w:rPr/>
            </w:pPr>
            <w:r>
              <w:rPr>
                <w:spacing w:val="8"/>
              </w:rPr>
              <w:t>亿嘉和</w:t>
            </w:r>
          </w:p>
        </w:tc>
        <w:tc>
          <w:tcPr>
            <w:shd w:val="clear" w:fill="B8CCE4"/>
            <w:tcW w:w="7356" w:type="dxa"/>
            <w:vAlign w:val="top"/>
          </w:tcPr>
          <w:p>
            <w:pPr>
              <w:pStyle w:val="TableText"/>
              <w:ind w:left="98" w:right="101" w:firstLine="1"/>
              <w:spacing w:before="87" w:line="219" w:lineRule="auto"/>
              <w:rPr/>
            </w:pPr>
            <w:r>
              <w:rPr>
                <w:spacing w:val="13"/>
              </w:rPr>
              <w:t>亿嘉和首次</w:t>
            </w:r>
            <w:r>
              <w:rPr>
                <w:b/>
                <w:bCs/>
                <w:spacing w:val="13"/>
              </w:rPr>
              <w:t>预告业绩</w:t>
            </w:r>
            <w:r>
              <w:rPr>
                <w:spacing w:val="13"/>
              </w:rPr>
              <w:t>与实际业绩差异金额较大,且</w:t>
            </w:r>
            <w:r>
              <w:rPr>
                <w:spacing w:val="12"/>
              </w:rPr>
              <w:t>盈亏性质发生变化,信息披露</w:t>
            </w:r>
            <w:r>
              <w:rPr/>
              <w:t xml:space="preserve"> </w:t>
            </w:r>
            <w:r>
              <w:rPr>
                <w:spacing w:val="6"/>
              </w:rPr>
              <w:t>不准确。</w:t>
            </w:r>
          </w:p>
        </w:tc>
      </w:tr>
      <w:tr>
        <w:trPr>
          <w:trHeight w:val="724" w:hRule="atLeast"/>
        </w:trPr>
        <w:tc>
          <w:tcPr>
            <w:tcW w:w="10776" w:type="dxa"/>
            <w:vAlign w:val="top"/>
            <w:gridSpan w:val="3"/>
          </w:tcPr>
          <w:p>
            <w:pPr>
              <w:pStyle w:val="TableText"/>
              <w:ind w:left="104" w:right="161" w:firstLine="16"/>
              <w:spacing w:before="47" w:line="233" w:lineRule="auto"/>
              <w:rPr/>
            </w:pPr>
            <w:r>
              <w:rPr>
                <w:b/>
                <w:bCs/>
                <w:spacing w:val="9"/>
              </w:rPr>
              <w:t>【行政监管措施】</w:t>
            </w:r>
            <w:r>
              <w:rPr>
                <w:b/>
                <w:bCs/>
                <w:spacing w:val="-32"/>
              </w:rPr>
              <w:t xml:space="preserve"> </w:t>
            </w:r>
            <w:r>
              <w:rPr>
                <w:spacing w:val="9"/>
              </w:rPr>
              <w:t>中国证券监督管理委员会江苏监管局决定对亿嘉和科技股份有公司、财务总监王某杰采取出</w:t>
            </w:r>
            <w:r>
              <w:rPr>
                <w:spacing w:val="8"/>
              </w:rPr>
              <w:t>具警</w:t>
            </w:r>
            <w:r>
              <w:rPr/>
              <w:t xml:space="preserve"> </w:t>
            </w:r>
            <w:r>
              <w:rPr>
                <w:spacing w:val="8"/>
              </w:rPr>
              <w:t>示函的行政监管措施。</w:t>
            </w:r>
          </w:p>
        </w:tc>
      </w:tr>
      <w:tr>
        <w:trPr>
          <w:trHeight w:val="364" w:hRule="atLeast"/>
        </w:trPr>
        <w:tc>
          <w:tcPr>
            <w:shd w:val="clear" w:fill="B8CCE4"/>
            <w:tcW w:w="1622" w:type="dxa"/>
            <w:vAlign w:val="top"/>
          </w:tcPr>
          <w:p>
            <w:pPr>
              <w:pStyle w:val="TableText"/>
              <w:ind w:left="444"/>
              <w:spacing w:before="106" w:line="173" w:lineRule="auto"/>
              <w:rPr/>
            </w:pPr>
            <w:r>
              <w:rPr>
                <w:spacing w:val="3"/>
              </w:rPr>
              <w:t>600108</w:t>
            </w:r>
          </w:p>
        </w:tc>
        <w:tc>
          <w:tcPr>
            <w:shd w:val="clear" w:fill="B8CCE4"/>
            <w:tcW w:w="1798" w:type="dxa"/>
            <w:vAlign w:val="top"/>
          </w:tcPr>
          <w:p>
            <w:pPr>
              <w:pStyle w:val="TableText"/>
              <w:ind w:left="470"/>
              <w:spacing w:before="93" w:line="182" w:lineRule="auto"/>
              <w:rPr/>
            </w:pPr>
            <w:r>
              <w:rPr>
                <w:spacing w:val="8"/>
              </w:rPr>
              <w:t>亚盛集团</w:t>
            </w:r>
          </w:p>
        </w:tc>
        <w:tc>
          <w:tcPr>
            <w:shd w:val="clear" w:fill="B8CCE4"/>
            <w:tcW w:w="7356" w:type="dxa"/>
            <w:vAlign w:val="top"/>
          </w:tcPr>
          <w:p>
            <w:pPr>
              <w:pStyle w:val="TableText"/>
              <w:ind w:left="108"/>
              <w:spacing w:before="93" w:line="182" w:lineRule="auto"/>
              <w:rPr/>
            </w:pPr>
            <w:r>
              <w:rPr>
                <w:spacing w:val="8"/>
              </w:rPr>
              <w:t>时任任副总经理配偶</w:t>
            </w:r>
            <w:r>
              <w:rPr>
                <w:b/>
                <w:bCs/>
                <w:spacing w:val="8"/>
              </w:rPr>
              <w:t>短线交易。</w:t>
            </w:r>
          </w:p>
        </w:tc>
      </w:tr>
      <w:tr>
        <w:trPr>
          <w:trHeight w:val="724" w:hRule="atLeast"/>
        </w:trPr>
        <w:tc>
          <w:tcPr>
            <w:tcW w:w="10776" w:type="dxa"/>
            <w:vAlign w:val="top"/>
            <w:gridSpan w:val="3"/>
          </w:tcPr>
          <w:p>
            <w:pPr>
              <w:pStyle w:val="TableText"/>
              <w:ind w:left="104" w:right="111" w:firstLine="17"/>
              <w:spacing w:before="50" w:line="232" w:lineRule="auto"/>
              <w:rPr/>
            </w:pPr>
            <w:r>
              <w:rPr>
                <w:b/>
                <w:bCs/>
                <w:spacing w:val="9"/>
              </w:rPr>
              <w:t>【行政监管措施】</w:t>
            </w:r>
            <w:r>
              <w:rPr>
                <w:b/>
                <w:bCs/>
                <w:spacing w:val="-31"/>
              </w:rPr>
              <w:t xml:space="preserve"> </w:t>
            </w:r>
            <w:r>
              <w:rPr>
                <w:spacing w:val="9"/>
              </w:rPr>
              <w:t>中国证券监督管理委员会甘肃监管局决定对副总经理李某国采取出具警示函的</w:t>
            </w:r>
            <w:r>
              <w:rPr>
                <w:spacing w:val="8"/>
              </w:rPr>
              <w:t>行政监管措施,并记</w:t>
            </w:r>
            <w:r>
              <w:rPr/>
              <w:t xml:space="preserve"> </w:t>
            </w:r>
            <w:r>
              <w:rPr>
                <w:spacing w:val="8"/>
              </w:rPr>
              <w:t>入证券期货市场诚信档案。</w:t>
            </w:r>
          </w:p>
        </w:tc>
      </w:tr>
      <w:tr>
        <w:trPr>
          <w:trHeight w:val="372" w:hRule="atLeast"/>
        </w:trPr>
        <w:tc>
          <w:tcPr>
            <w:shd w:val="clear" w:fill="B8CCE4"/>
            <w:tcW w:w="1622" w:type="dxa"/>
            <w:vAlign w:val="top"/>
          </w:tcPr>
          <w:p>
            <w:pPr>
              <w:pStyle w:val="TableText"/>
              <w:ind w:left="447"/>
              <w:spacing w:before="110" w:line="176" w:lineRule="auto"/>
              <w:rPr/>
            </w:pPr>
            <w:r>
              <w:rPr>
                <w:spacing w:val="3"/>
              </w:rPr>
              <w:t>300163</w:t>
            </w:r>
          </w:p>
        </w:tc>
        <w:tc>
          <w:tcPr>
            <w:shd w:val="clear" w:fill="B8CCE4"/>
            <w:tcW w:w="1798" w:type="dxa"/>
            <w:vAlign w:val="top"/>
          </w:tcPr>
          <w:p>
            <w:pPr>
              <w:pStyle w:val="TableText"/>
              <w:ind w:left="568"/>
              <w:spacing w:before="97" w:line="185" w:lineRule="auto"/>
              <w:rPr/>
            </w:pPr>
            <w:r>
              <w:rPr/>
              <w:t>ST</w:t>
            </w:r>
            <w:r>
              <w:rPr>
                <w:spacing w:val="8"/>
              </w:rPr>
              <w:t>先锋</w:t>
            </w:r>
          </w:p>
        </w:tc>
        <w:tc>
          <w:tcPr>
            <w:shd w:val="clear" w:fill="B8CCE4"/>
            <w:tcW w:w="7356" w:type="dxa"/>
            <w:vAlign w:val="top"/>
          </w:tcPr>
          <w:p>
            <w:pPr>
              <w:pStyle w:val="TableText"/>
              <w:ind w:left="109"/>
              <w:spacing w:before="94" w:line="187" w:lineRule="auto"/>
              <w:rPr/>
            </w:pPr>
            <w:r>
              <w:rPr/>
              <w:t>ST</w:t>
            </w:r>
            <w:r>
              <w:rPr>
                <w:spacing w:val="13"/>
              </w:rPr>
              <w:t>先锋</w:t>
            </w:r>
            <w:r>
              <w:rPr>
                <w:b/>
                <w:bCs/>
                <w:spacing w:val="13"/>
              </w:rPr>
              <w:t>业绩预告</w:t>
            </w:r>
            <w:r>
              <w:rPr>
                <w:spacing w:val="13"/>
              </w:rPr>
              <w:t>披露的预计净利润不准确， 与年度报告披露的经审计净利润</w:t>
            </w:r>
          </w:p>
        </w:tc>
      </w:tr>
    </w:tbl>
    <w:p>
      <w:pPr>
        <w:pStyle w:val="BodyText"/>
        <w:rPr/>
      </w:pPr>
      <w:r/>
    </w:p>
    <w:p>
      <w:pPr>
        <w:sectPr>
          <w:pgSz w:w="11910" w:h="16840"/>
          <w:pgMar w:top="400" w:right="642" w:bottom="0" w:left="0" w:header="0" w:footer="0" w:gutter="0"/>
        </w:sectPr>
        <w:rPr/>
      </w:pPr>
    </w:p>
    <w:tbl>
      <w:tblPr>
        <w:tblStyle w:val="TableNormal"/>
        <w:tblW w:w="10776"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622"/>
        <w:gridCol w:w="1798"/>
        <w:gridCol w:w="7356"/>
      </w:tblGrid>
      <w:tr>
        <w:trPr>
          <w:trHeight w:val="384" w:hRule="atLeast"/>
        </w:trPr>
        <w:tc>
          <w:tcPr>
            <w:shd w:val="clear" w:fill="B8CCE4"/>
            <w:tcW w:w="1622" w:type="dxa"/>
            <w:vAlign w:val="top"/>
            <w:tcBorders>
              <w:top w:val="single" w:color="FFFFFF" w:sz="2" w:space="0"/>
            </w:tcBorders>
          </w:tcPr>
          <w:p>
            <w:pPr>
              <w:rPr>
                <w:rFonts w:ascii="Arial"/>
                <w:sz w:val="21"/>
              </w:rPr>
            </w:pPr>
            <w:r/>
          </w:p>
        </w:tc>
        <w:tc>
          <w:tcPr>
            <w:shd w:val="clear" w:fill="B8CCE4"/>
            <w:tcW w:w="1798" w:type="dxa"/>
            <w:vAlign w:val="top"/>
            <w:tcBorders>
              <w:top w:val="single" w:color="FFFFFF" w:sz="2" w:space="0"/>
            </w:tcBorders>
          </w:tcPr>
          <w:p>
            <w:pPr>
              <w:rPr>
                <w:rFonts w:ascii="Arial"/>
                <w:sz w:val="21"/>
              </w:rPr>
            </w:pPr>
            <w:r/>
          </w:p>
        </w:tc>
        <w:tc>
          <w:tcPr>
            <w:shd w:val="clear" w:fill="B8CCE4"/>
            <w:tcW w:w="7356" w:type="dxa"/>
            <w:vAlign w:val="top"/>
            <w:tcBorders>
              <w:top w:val="single" w:color="FFFFFF" w:sz="2" w:space="0"/>
            </w:tcBorders>
          </w:tcPr>
          <w:p>
            <w:pPr>
              <w:pStyle w:val="TableText"/>
              <w:ind w:left="97"/>
              <w:spacing w:before="101" w:line="190" w:lineRule="auto"/>
              <w:rPr/>
            </w:pPr>
            <w:r>
              <w:rPr>
                <w:spacing w:val="3"/>
              </w:rPr>
              <w:t>差异较大， 且未及时</w:t>
            </w:r>
            <w:r>
              <w:rPr>
                <w:b/>
                <w:bCs/>
                <w:spacing w:val="3"/>
              </w:rPr>
              <w:t>修正</w:t>
            </w:r>
            <w:r>
              <w:rPr>
                <w:spacing w:val="3"/>
              </w:rPr>
              <w:t>。</w:t>
            </w:r>
          </w:p>
        </w:tc>
      </w:tr>
      <w:tr>
        <w:trPr>
          <w:trHeight w:val="725" w:hRule="atLeast"/>
        </w:trPr>
        <w:tc>
          <w:tcPr>
            <w:tcW w:w="10776" w:type="dxa"/>
            <w:vAlign w:val="top"/>
            <w:gridSpan w:val="3"/>
          </w:tcPr>
          <w:p>
            <w:pPr>
              <w:pStyle w:val="TableText"/>
              <w:ind w:left="104" w:right="161" w:firstLine="17"/>
              <w:spacing w:before="40" w:line="236" w:lineRule="auto"/>
              <w:rPr/>
            </w:pPr>
            <w:r>
              <w:rPr>
                <w:b/>
                <w:bCs/>
                <w:spacing w:val="9"/>
              </w:rPr>
              <w:t>【行政监管措施】</w:t>
            </w:r>
            <w:r>
              <w:rPr>
                <w:b/>
                <w:bCs/>
                <w:spacing w:val="-32"/>
              </w:rPr>
              <w:t xml:space="preserve"> </w:t>
            </w:r>
            <w:r>
              <w:rPr>
                <w:spacing w:val="9"/>
              </w:rPr>
              <w:t>中国证券监督管理委员会宁波监管局决定对宁波先锋新材料股份有限公司、董事长熊某、总</w:t>
            </w:r>
            <w:r>
              <w:rPr>
                <w:spacing w:val="8"/>
              </w:rPr>
              <w:t>经理</w:t>
            </w:r>
            <w:r>
              <w:rPr/>
              <w:t xml:space="preserve"> </w:t>
            </w:r>
            <w:r>
              <w:rPr>
                <w:spacing w:val="8"/>
              </w:rPr>
              <w:t>卢某锋、财务总监叶某玲、董事会秘书凌某珍采取出具警示函的行政监管措施， 并记入证券期货市场诚信档案。</w:t>
            </w:r>
          </w:p>
        </w:tc>
      </w:tr>
      <w:tr>
        <w:trPr>
          <w:trHeight w:val="436" w:hRule="atLeast"/>
        </w:trPr>
        <w:tc>
          <w:tcPr>
            <w:shd w:val="clear" w:fill="B8CCE4"/>
            <w:tcW w:w="1622" w:type="dxa"/>
            <w:vAlign w:val="top"/>
          </w:tcPr>
          <w:p>
            <w:pPr>
              <w:pStyle w:val="TableText"/>
              <w:ind w:left="444"/>
              <w:spacing w:before="131" w:line="179" w:lineRule="auto"/>
              <w:rPr/>
            </w:pPr>
            <w:r>
              <w:rPr>
                <w:spacing w:val="3"/>
              </w:rPr>
              <w:t>600811</w:t>
            </w:r>
          </w:p>
        </w:tc>
        <w:tc>
          <w:tcPr>
            <w:shd w:val="clear" w:fill="B8CCE4"/>
            <w:tcW w:w="1798" w:type="dxa"/>
            <w:vAlign w:val="top"/>
          </w:tcPr>
          <w:p>
            <w:pPr>
              <w:pStyle w:val="TableText"/>
              <w:ind w:left="468"/>
              <w:spacing w:before="118" w:line="189" w:lineRule="auto"/>
              <w:rPr/>
            </w:pPr>
            <w:r>
              <w:rPr>
                <w:spacing w:val="8"/>
              </w:rPr>
              <w:t>东方集团</w:t>
            </w:r>
          </w:p>
        </w:tc>
        <w:tc>
          <w:tcPr>
            <w:shd w:val="clear" w:fill="B8CCE4"/>
            <w:tcW w:w="7356" w:type="dxa"/>
            <w:vAlign w:val="top"/>
          </w:tcPr>
          <w:p>
            <w:pPr>
              <w:pStyle w:val="TableText"/>
              <w:ind w:left="99"/>
              <w:spacing w:before="152" w:line="190" w:lineRule="auto"/>
              <w:rPr/>
            </w:pPr>
            <w:r>
              <w:rPr>
                <w:spacing w:val="9"/>
              </w:rPr>
              <w:t>公司未按规定履行</w:t>
            </w:r>
            <w:r>
              <w:rPr>
                <w:b/>
                <w:bCs/>
                <w:spacing w:val="9"/>
              </w:rPr>
              <w:t>关联交易</w:t>
            </w:r>
            <w:r>
              <w:rPr>
                <w:spacing w:val="9"/>
              </w:rPr>
              <w:t>审议程序及信息披露义务。</w:t>
            </w:r>
          </w:p>
        </w:tc>
      </w:tr>
      <w:tr>
        <w:trPr>
          <w:trHeight w:val="724" w:hRule="atLeast"/>
        </w:trPr>
        <w:tc>
          <w:tcPr>
            <w:tcW w:w="10776" w:type="dxa"/>
            <w:vAlign w:val="top"/>
            <w:gridSpan w:val="3"/>
          </w:tcPr>
          <w:p>
            <w:pPr>
              <w:pStyle w:val="TableText"/>
              <w:ind w:left="105" w:right="104" w:firstLine="16"/>
              <w:spacing w:before="41" w:line="235" w:lineRule="auto"/>
              <w:rPr/>
            </w:pPr>
            <w:r>
              <w:rPr>
                <w:b/>
                <w:bCs/>
                <w:spacing w:val="10"/>
              </w:rPr>
              <w:t>【行政监管措施】</w:t>
            </w:r>
            <w:r>
              <w:rPr>
                <w:b/>
                <w:bCs/>
                <w:spacing w:val="-26"/>
              </w:rPr>
              <w:t xml:space="preserve"> </w:t>
            </w:r>
            <w:r>
              <w:rPr>
                <w:spacing w:val="10"/>
              </w:rPr>
              <w:t>中国证券监督管理委员会黑龙江监管局决定对东方集团股份有限公司、公司董事长、时任总裁孙</w:t>
            </w:r>
            <w:r>
              <w:rPr/>
              <w:t xml:space="preserve"> </w:t>
            </w:r>
            <w:r>
              <w:rPr>
                <w:spacing w:val="8"/>
              </w:rPr>
              <w:t>某涛、董事会秘书康某杰分别采取出具警示函的行政监管措施， 并记入证券期货市场诚信档案。</w:t>
            </w:r>
          </w:p>
        </w:tc>
      </w:tr>
      <w:tr>
        <w:trPr>
          <w:trHeight w:val="366" w:hRule="atLeast"/>
        </w:trPr>
        <w:tc>
          <w:tcPr>
            <w:shd w:val="clear" w:fill="B8CCE4"/>
            <w:tcW w:w="1622" w:type="dxa"/>
            <w:vAlign w:val="top"/>
          </w:tcPr>
          <w:p>
            <w:pPr>
              <w:pStyle w:val="TableText"/>
              <w:ind w:left="444"/>
              <w:spacing w:before="98" w:line="179" w:lineRule="auto"/>
              <w:rPr/>
            </w:pPr>
            <w:r>
              <w:rPr>
                <w:spacing w:val="3"/>
              </w:rPr>
              <w:t>600172</w:t>
            </w:r>
          </w:p>
        </w:tc>
        <w:tc>
          <w:tcPr>
            <w:shd w:val="clear" w:fill="B8CCE4"/>
            <w:tcW w:w="1798" w:type="dxa"/>
            <w:vAlign w:val="top"/>
          </w:tcPr>
          <w:p>
            <w:pPr>
              <w:pStyle w:val="TableText"/>
              <w:ind w:left="472"/>
              <w:spacing w:before="84" w:line="189" w:lineRule="auto"/>
              <w:rPr/>
            </w:pPr>
            <w:r>
              <w:rPr>
                <w:spacing w:val="8"/>
              </w:rPr>
              <w:t>黄河旋风</w:t>
            </w:r>
          </w:p>
        </w:tc>
        <w:tc>
          <w:tcPr>
            <w:shd w:val="clear" w:fill="B8CCE4"/>
            <w:tcW w:w="7356" w:type="dxa"/>
            <w:vAlign w:val="top"/>
          </w:tcPr>
          <w:p>
            <w:pPr>
              <w:pStyle w:val="TableText"/>
              <w:ind w:left="99"/>
              <w:spacing w:before="83" w:line="190" w:lineRule="auto"/>
              <w:rPr/>
            </w:pPr>
            <w:r>
              <w:rPr>
                <w:spacing w:val="9"/>
              </w:rPr>
              <w:t>公司2023年一季度报告、半年度报告、三季度报告</w:t>
            </w:r>
            <w:r>
              <w:rPr>
                <w:b/>
                <w:bCs/>
                <w:spacing w:val="9"/>
              </w:rPr>
              <w:t>信息披露不准确。</w:t>
            </w:r>
          </w:p>
        </w:tc>
      </w:tr>
      <w:tr>
        <w:trPr>
          <w:trHeight w:val="724" w:hRule="atLeast"/>
        </w:trPr>
        <w:tc>
          <w:tcPr>
            <w:tcW w:w="10776" w:type="dxa"/>
            <w:vAlign w:val="top"/>
            <w:gridSpan w:val="3"/>
          </w:tcPr>
          <w:p>
            <w:pPr>
              <w:pStyle w:val="TableText"/>
              <w:ind w:left="105" w:right="161" w:firstLine="15"/>
              <w:spacing w:before="41" w:line="235" w:lineRule="auto"/>
              <w:rPr/>
            </w:pPr>
            <w:r>
              <w:rPr>
                <w:b/>
                <w:bCs/>
                <w:spacing w:val="6"/>
              </w:rPr>
              <w:t>【行政监管措施】</w:t>
            </w:r>
            <w:r>
              <w:rPr>
                <w:b/>
                <w:bCs/>
                <w:spacing w:val="-14"/>
              </w:rPr>
              <w:t xml:space="preserve"> </w:t>
            </w:r>
            <w:r>
              <w:rPr>
                <w:spacing w:val="6"/>
              </w:rPr>
              <w:t>中国证券监督管理委员会河南监管局决定对公司及时任董事长庞某龙， 时任总经理陈某强， 时任</w:t>
            </w:r>
            <w:r>
              <w:rPr/>
              <w:t xml:space="preserve"> </w:t>
            </w:r>
            <w:r>
              <w:rPr>
                <w:spacing w:val="8"/>
              </w:rPr>
              <w:t>财务总监郭某、董某文采取出具警示函的行政监管措施， 并记入证券期货</w:t>
            </w:r>
            <w:r>
              <w:rPr>
                <w:spacing w:val="7"/>
              </w:rPr>
              <w:t>市场诚信档案。</w:t>
            </w:r>
          </w:p>
        </w:tc>
      </w:tr>
      <w:tr>
        <w:trPr>
          <w:trHeight w:val="724" w:hRule="atLeast"/>
        </w:trPr>
        <w:tc>
          <w:tcPr>
            <w:shd w:val="clear" w:fill="B8CCE4"/>
            <w:tcW w:w="1622" w:type="dxa"/>
            <w:vAlign w:val="top"/>
          </w:tcPr>
          <w:p>
            <w:pPr>
              <w:pStyle w:val="TableText"/>
              <w:ind w:left="441"/>
              <w:spacing w:before="280" w:line="178" w:lineRule="auto"/>
              <w:rPr/>
            </w:pPr>
            <w:r>
              <w:rPr>
                <w:spacing w:val="3"/>
              </w:rPr>
              <w:t>000783</w:t>
            </w:r>
          </w:p>
        </w:tc>
        <w:tc>
          <w:tcPr>
            <w:shd w:val="clear" w:fill="B8CCE4"/>
            <w:tcW w:w="1798" w:type="dxa"/>
            <w:vAlign w:val="top"/>
          </w:tcPr>
          <w:p>
            <w:pPr>
              <w:pStyle w:val="TableText"/>
              <w:ind w:left="472"/>
              <w:spacing w:before="267" w:line="188" w:lineRule="auto"/>
              <w:rPr/>
            </w:pPr>
            <w:r>
              <w:rPr>
                <w:spacing w:val="8"/>
              </w:rPr>
              <w:t>长江证券</w:t>
            </w:r>
          </w:p>
        </w:tc>
        <w:tc>
          <w:tcPr>
            <w:shd w:val="clear" w:fill="B8CCE4"/>
            <w:tcW w:w="7356" w:type="dxa"/>
            <w:vAlign w:val="top"/>
          </w:tcPr>
          <w:p>
            <w:pPr>
              <w:pStyle w:val="TableText"/>
              <w:ind w:left="99" w:right="104"/>
              <w:spacing w:before="84" w:line="220" w:lineRule="auto"/>
              <w:rPr/>
            </w:pPr>
            <w:r>
              <w:rPr>
                <w:spacing w:val="14"/>
              </w:rPr>
              <w:t>在未注册登记为证券投资顾问的情况下，</w:t>
            </w:r>
            <w:r>
              <w:rPr>
                <w:spacing w:val="22"/>
              </w:rPr>
              <w:t xml:space="preserve"> </w:t>
            </w:r>
            <w:r>
              <w:rPr>
                <w:spacing w:val="14"/>
              </w:rPr>
              <w:t>向客户作出买卖具</w:t>
            </w:r>
            <w:r>
              <w:rPr>
                <w:spacing w:val="13"/>
              </w:rPr>
              <w:t>体证券的投资建</w:t>
            </w:r>
            <w:r>
              <w:rPr/>
              <w:t xml:space="preserve"> </w:t>
            </w:r>
            <w:r>
              <w:rPr>
                <w:spacing w:val="2"/>
              </w:rPr>
              <w:t>议；</w:t>
            </w:r>
            <w:r>
              <w:rPr>
                <w:spacing w:val="21"/>
                <w:w w:val="101"/>
              </w:rPr>
              <w:t xml:space="preserve"> </w:t>
            </w:r>
            <w:r>
              <w:rPr>
                <w:spacing w:val="2"/>
              </w:rPr>
              <w:t>向客户承诺投资收益。</w:t>
            </w:r>
          </w:p>
        </w:tc>
      </w:tr>
      <w:tr>
        <w:trPr>
          <w:trHeight w:val="366" w:hRule="atLeast"/>
        </w:trPr>
        <w:tc>
          <w:tcPr>
            <w:tcW w:w="10776" w:type="dxa"/>
            <w:vAlign w:val="top"/>
            <w:gridSpan w:val="3"/>
          </w:tcPr>
          <w:p>
            <w:pPr>
              <w:pStyle w:val="TableText"/>
              <w:ind w:left="121"/>
              <w:spacing w:before="44" w:line="218" w:lineRule="auto"/>
              <w:rPr/>
            </w:pPr>
            <w:r>
              <w:rPr>
                <w:b/>
                <w:bCs/>
                <w:spacing w:val="9"/>
              </w:rPr>
              <w:t>【行政监管措施】</w:t>
            </w:r>
            <w:r>
              <w:rPr>
                <w:b/>
                <w:bCs/>
                <w:spacing w:val="-32"/>
              </w:rPr>
              <w:t xml:space="preserve"> </w:t>
            </w:r>
            <w:r>
              <w:rPr>
                <w:spacing w:val="9"/>
              </w:rPr>
              <w:t>中国证券监督管理委员会广东监管局决定对从业人员张某健采取</w:t>
            </w:r>
            <w:r>
              <w:rPr>
                <w:spacing w:val="8"/>
              </w:rPr>
              <w:t>出具警示函的行政监管措施。</w:t>
            </w:r>
          </w:p>
        </w:tc>
      </w:tr>
      <w:tr>
        <w:trPr>
          <w:trHeight w:val="365" w:hRule="atLeast"/>
        </w:trPr>
        <w:tc>
          <w:tcPr>
            <w:shd w:val="clear" w:fill="B8CCE4"/>
            <w:tcW w:w="1622" w:type="dxa"/>
            <w:vAlign w:val="top"/>
          </w:tcPr>
          <w:p>
            <w:pPr>
              <w:pStyle w:val="TableText"/>
              <w:ind w:left="441"/>
              <w:spacing w:before="100" w:line="178" w:lineRule="auto"/>
              <w:rPr/>
            </w:pPr>
            <w:r>
              <w:rPr>
                <w:spacing w:val="3"/>
              </w:rPr>
              <w:t>000566</w:t>
            </w:r>
          </w:p>
        </w:tc>
        <w:tc>
          <w:tcPr>
            <w:shd w:val="clear" w:fill="B8CCE4"/>
            <w:tcW w:w="1798" w:type="dxa"/>
            <w:vAlign w:val="top"/>
          </w:tcPr>
          <w:p>
            <w:pPr>
              <w:pStyle w:val="TableText"/>
              <w:ind w:left="469"/>
              <w:spacing w:before="86" w:line="188" w:lineRule="auto"/>
              <w:rPr/>
            </w:pPr>
            <w:r>
              <w:rPr>
                <w:spacing w:val="8"/>
              </w:rPr>
              <w:t>海南海药</w:t>
            </w:r>
          </w:p>
        </w:tc>
        <w:tc>
          <w:tcPr>
            <w:shd w:val="clear" w:fill="B8CCE4"/>
            <w:tcW w:w="7356" w:type="dxa"/>
            <w:vAlign w:val="top"/>
          </w:tcPr>
          <w:p>
            <w:pPr>
              <w:pStyle w:val="TableText"/>
              <w:ind w:left="99"/>
              <w:spacing w:before="86" w:line="188" w:lineRule="auto"/>
              <w:rPr/>
            </w:pPr>
            <w:r>
              <w:rPr>
                <w:spacing w:val="9"/>
              </w:rPr>
              <w:t>海南海药股份有限公司存在</w:t>
            </w:r>
            <w:r>
              <w:rPr>
                <w:b/>
                <w:bCs/>
                <w:spacing w:val="9"/>
              </w:rPr>
              <w:t>信息披露违法</w:t>
            </w:r>
            <w:r>
              <w:rPr>
                <w:spacing w:val="9"/>
              </w:rPr>
              <w:t>行为。</w:t>
            </w:r>
          </w:p>
        </w:tc>
      </w:tr>
      <w:tr>
        <w:trPr>
          <w:trHeight w:val="1085" w:hRule="atLeast"/>
        </w:trPr>
        <w:tc>
          <w:tcPr>
            <w:tcW w:w="10776" w:type="dxa"/>
            <w:vAlign w:val="top"/>
            <w:gridSpan w:val="3"/>
          </w:tcPr>
          <w:p>
            <w:pPr>
              <w:pStyle w:val="TableText"/>
              <w:ind w:left="102" w:right="161" w:firstLine="18"/>
              <w:spacing w:before="41" w:line="241" w:lineRule="auto"/>
              <w:rPr/>
            </w:pPr>
            <w:r>
              <w:rPr>
                <w:b/>
                <w:bCs/>
                <w:spacing w:val="8"/>
              </w:rPr>
              <w:t>【行政监管措施】</w:t>
            </w:r>
            <w:r>
              <w:rPr>
                <w:b/>
                <w:bCs/>
                <w:spacing w:val="-32"/>
              </w:rPr>
              <w:t xml:space="preserve"> </w:t>
            </w:r>
            <w:r>
              <w:rPr>
                <w:spacing w:val="8"/>
              </w:rPr>
              <w:t>中国证券监督管理委员会海南监管局决定对时任总</w:t>
            </w:r>
            <w:r>
              <w:rPr>
                <w:spacing w:val="7"/>
              </w:rPr>
              <w:t>经理王某帆， 时任副总经理、财务负责人冯</w:t>
            </w:r>
            <w:r>
              <w:rPr/>
              <w:t xml:space="preserve">    </w:t>
            </w:r>
            <w:r>
              <w:rPr>
                <w:spacing w:val="6"/>
              </w:rPr>
              <w:t>某， 时任副总经理李某昕， 时任监事会主席周某国采取出具警示函的行政监管措施， 并记入资本市场诚信档案数据</w:t>
            </w:r>
            <w:r>
              <w:rPr/>
              <w:t xml:space="preserve"> </w:t>
            </w:r>
            <w:r>
              <w:rPr>
                <w:spacing w:val="3"/>
              </w:rPr>
              <w:t>库。</w:t>
            </w:r>
          </w:p>
        </w:tc>
      </w:tr>
      <w:tr>
        <w:trPr>
          <w:trHeight w:val="724" w:hRule="atLeast"/>
        </w:trPr>
        <w:tc>
          <w:tcPr>
            <w:shd w:val="clear" w:fill="B8CCE4"/>
            <w:tcW w:w="1622" w:type="dxa"/>
            <w:vAlign w:val="top"/>
          </w:tcPr>
          <w:p>
            <w:pPr>
              <w:pStyle w:val="TableText"/>
              <w:ind w:left="441"/>
              <w:spacing w:before="282" w:line="178" w:lineRule="auto"/>
              <w:rPr/>
            </w:pPr>
            <w:r>
              <w:rPr>
                <w:spacing w:val="3"/>
              </w:rPr>
              <w:t>000566</w:t>
            </w:r>
          </w:p>
        </w:tc>
        <w:tc>
          <w:tcPr>
            <w:shd w:val="clear" w:fill="B8CCE4"/>
            <w:tcW w:w="1798" w:type="dxa"/>
            <w:vAlign w:val="top"/>
          </w:tcPr>
          <w:p>
            <w:pPr>
              <w:pStyle w:val="TableText"/>
              <w:ind w:left="469"/>
              <w:spacing w:before="267" w:line="189" w:lineRule="auto"/>
              <w:rPr/>
            </w:pPr>
            <w:r>
              <w:rPr>
                <w:spacing w:val="8"/>
              </w:rPr>
              <w:t>海南海药</w:t>
            </w:r>
          </w:p>
        </w:tc>
        <w:tc>
          <w:tcPr>
            <w:shd w:val="clear" w:fill="B8CCE4"/>
            <w:tcW w:w="7356" w:type="dxa"/>
            <w:vAlign w:val="top"/>
          </w:tcPr>
          <w:p>
            <w:pPr>
              <w:pStyle w:val="TableText"/>
              <w:ind w:left="106" w:right="104" w:hanging="7"/>
              <w:spacing w:before="47" w:line="233" w:lineRule="auto"/>
              <w:rPr/>
            </w:pPr>
            <w:r>
              <w:rPr>
                <w:spacing w:val="12"/>
              </w:rPr>
              <w:t>大华会计师事务所 （特殊普通合伙） 、注册会计师在海南海药股份有</w:t>
            </w:r>
            <w:r>
              <w:rPr>
                <w:spacing w:val="11"/>
              </w:rPr>
              <w:t>限公司</w:t>
            </w:r>
            <w:r>
              <w:rPr/>
              <w:t xml:space="preserve"> </w:t>
            </w:r>
            <w:r>
              <w:rPr>
                <w:b/>
                <w:bCs/>
                <w:spacing w:val="8"/>
              </w:rPr>
              <w:t>2020年度财务报表审计项目</w:t>
            </w:r>
            <w:r>
              <w:rPr>
                <w:spacing w:val="8"/>
              </w:rPr>
              <w:t>中存在问题。</w:t>
            </w:r>
          </w:p>
        </w:tc>
      </w:tr>
      <w:tr>
        <w:trPr>
          <w:trHeight w:val="724" w:hRule="atLeast"/>
        </w:trPr>
        <w:tc>
          <w:tcPr>
            <w:tcW w:w="10776" w:type="dxa"/>
            <w:vAlign w:val="top"/>
            <w:gridSpan w:val="3"/>
          </w:tcPr>
          <w:p>
            <w:pPr>
              <w:pStyle w:val="TableText"/>
              <w:ind w:left="115" w:right="161" w:firstLine="6"/>
              <w:spacing w:before="44" w:line="234" w:lineRule="auto"/>
              <w:rPr/>
            </w:pPr>
            <w:r>
              <w:rPr>
                <w:b/>
                <w:bCs/>
                <w:spacing w:val="6"/>
              </w:rPr>
              <w:t>【行政监管措施】</w:t>
            </w:r>
            <w:r>
              <w:rPr>
                <w:b/>
                <w:bCs/>
                <w:spacing w:val="-14"/>
              </w:rPr>
              <w:t xml:space="preserve"> </w:t>
            </w:r>
            <w:r>
              <w:rPr>
                <w:spacing w:val="6"/>
              </w:rPr>
              <w:t>中国证券监督管理委员会海南监管局决定对大华会计师事务所 （特殊普通合伙） 及签字注册会计</w:t>
            </w:r>
            <w:r>
              <w:rPr/>
              <w:t xml:space="preserve"> </w:t>
            </w:r>
            <w:r>
              <w:rPr>
                <w:spacing w:val="7"/>
              </w:rPr>
              <w:t>师采取出具警示函的行政监管措施， 并记入资本市场诚信档案数据库。</w:t>
            </w:r>
          </w:p>
        </w:tc>
      </w:tr>
      <w:tr>
        <w:trPr>
          <w:trHeight w:val="437" w:hRule="atLeast"/>
        </w:trPr>
        <w:tc>
          <w:tcPr>
            <w:shd w:val="clear" w:fill="B8CCE4"/>
            <w:tcW w:w="1622" w:type="dxa"/>
            <w:vAlign w:val="top"/>
          </w:tcPr>
          <w:p>
            <w:pPr>
              <w:pStyle w:val="TableText"/>
              <w:ind w:left="441"/>
              <w:spacing w:before="139" w:line="179" w:lineRule="auto"/>
              <w:rPr/>
            </w:pPr>
            <w:r>
              <w:rPr>
                <w:spacing w:val="3"/>
              </w:rPr>
              <w:t>000001</w:t>
            </w:r>
          </w:p>
        </w:tc>
        <w:tc>
          <w:tcPr>
            <w:shd w:val="clear" w:fill="B8CCE4"/>
            <w:tcW w:w="1798" w:type="dxa"/>
            <w:vAlign w:val="top"/>
          </w:tcPr>
          <w:p>
            <w:pPr>
              <w:pStyle w:val="TableText"/>
              <w:ind w:left="472"/>
              <w:spacing w:before="124" w:line="190" w:lineRule="auto"/>
              <w:rPr/>
            </w:pPr>
            <w:r>
              <w:rPr>
                <w:spacing w:val="8"/>
              </w:rPr>
              <w:t>平安银行</w:t>
            </w:r>
          </w:p>
        </w:tc>
        <w:tc>
          <w:tcPr>
            <w:shd w:val="clear" w:fill="B8CCE4"/>
            <w:tcW w:w="7356" w:type="dxa"/>
            <w:vAlign w:val="top"/>
          </w:tcPr>
          <w:p>
            <w:pPr>
              <w:pStyle w:val="TableText"/>
              <w:ind w:left="102"/>
              <w:spacing w:before="161" w:line="186" w:lineRule="auto"/>
              <w:rPr/>
            </w:pPr>
            <w:r>
              <w:rPr>
                <w:spacing w:val="9"/>
              </w:rPr>
              <w:t>平安银行股份有限公司存在利用赠送基金份额形式开展基金销售业务的情况。</w:t>
            </w:r>
          </w:p>
        </w:tc>
      </w:tr>
      <w:tr>
        <w:trPr>
          <w:trHeight w:val="724" w:hRule="atLeast"/>
        </w:trPr>
        <w:tc>
          <w:tcPr>
            <w:tcW w:w="10776" w:type="dxa"/>
            <w:vAlign w:val="top"/>
            <w:gridSpan w:val="3"/>
          </w:tcPr>
          <w:p>
            <w:pPr>
              <w:pStyle w:val="TableText"/>
              <w:ind w:left="103" w:right="104" w:firstLine="18"/>
              <w:spacing w:before="47" w:line="233" w:lineRule="auto"/>
              <w:rPr/>
            </w:pPr>
            <w:r>
              <w:rPr>
                <w:b/>
                <w:bCs/>
                <w:spacing w:val="14"/>
              </w:rPr>
              <w:t>【行政监管措施】</w:t>
            </w:r>
            <w:r>
              <w:rPr>
                <w:b/>
                <w:bCs/>
                <w:spacing w:val="-12"/>
              </w:rPr>
              <w:t xml:space="preserve"> </w:t>
            </w:r>
            <w:r>
              <w:rPr>
                <w:spacing w:val="14"/>
              </w:rPr>
              <w:t>中国证券监督管理委员会深圳监管局决定对平安银行股份有限公司采取出具警示函行政监管措</w:t>
            </w:r>
            <w:r>
              <w:rPr/>
              <w:t xml:space="preserve"> </w:t>
            </w:r>
            <w:r>
              <w:rPr>
                <w:spacing w:val="3"/>
              </w:rPr>
              <w:t>施。</w:t>
            </w:r>
          </w:p>
        </w:tc>
      </w:tr>
      <w:tr>
        <w:trPr>
          <w:trHeight w:val="724" w:hRule="atLeast"/>
        </w:trPr>
        <w:tc>
          <w:tcPr>
            <w:shd w:val="clear" w:fill="B8CCE4"/>
            <w:tcW w:w="1622" w:type="dxa"/>
            <w:vAlign w:val="top"/>
          </w:tcPr>
          <w:p>
            <w:pPr>
              <w:pStyle w:val="TableText"/>
              <w:ind w:left="444"/>
              <w:spacing w:before="286" w:line="178" w:lineRule="auto"/>
              <w:rPr/>
            </w:pPr>
            <w:r>
              <w:rPr>
                <w:spacing w:val="3"/>
              </w:rPr>
              <w:t>600884</w:t>
            </w:r>
          </w:p>
        </w:tc>
        <w:tc>
          <w:tcPr>
            <w:shd w:val="clear" w:fill="B8CCE4"/>
            <w:tcW w:w="1798" w:type="dxa"/>
            <w:vAlign w:val="top"/>
          </w:tcPr>
          <w:p>
            <w:pPr>
              <w:pStyle w:val="TableText"/>
              <w:ind w:left="469"/>
              <w:spacing w:before="273" w:line="188" w:lineRule="auto"/>
              <w:rPr/>
            </w:pPr>
            <w:r>
              <w:rPr>
                <w:spacing w:val="8"/>
              </w:rPr>
              <w:t>杉杉股份</w:t>
            </w:r>
          </w:p>
        </w:tc>
        <w:tc>
          <w:tcPr>
            <w:shd w:val="clear" w:fill="B8CCE4"/>
            <w:tcW w:w="7356" w:type="dxa"/>
            <w:vAlign w:val="top"/>
          </w:tcPr>
          <w:p>
            <w:pPr>
              <w:pStyle w:val="TableText"/>
              <w:ind w:left="98" w:right="104"/>
              <w:spacing w:before="90" w:line="218" w:lineRule="auto"/>
              <w:rPr/>
            </w:pPr>
            <w:r>
              <w:rPr>
                <w:spacing w:val="8"/>
              </w:rPr>
              <w:t>存在控股股东</w:t>
            </w:r>
            <w:r>
              <w:rPr>
                <w:b/>
                <w:bCs/>
                <w:spacing w:val="8"/>
              </w:rPr>
              <w:t>非经营性资金占用情形</w:t>
            </w:r>
            <w:r>
              <w:rPr>
                <w:spacing w:val="8"/>
              </w:rPr>
              <w:t>且未及时披露； 部分</w:t>
            </w:r>
            <w:r>
              <w:rPr>
                <w:b/>
                <w:bCs/>
                <w:spacing w:val="8"/>
              </w:rPr>
              <w:t>关联交易</w:t>
            </w:r>
            <w:r>
              <w:rPr>
                <w:spacing w:val="8"/>
              </w:rPr>
              <w:t>未履</w:t>
            </w:r>
            <w:r>
              <w:rPr>
                <w:spacing w:val="7"/>
              </w:rPr>
              <w:t>行审议</w:t>
            </w:r>
            <w:r>
              <w:rPr/>
              <w:t xml:space="preserve"> </w:t>
            </w:r>
            <w:r>
              <w:rPr>
                <w:spacing w:val="8"/>
              </w:rPr>
              <w:t>程序且未及时对外披露。</w:t>
            </w:r>
          </w:p>
        </w:tc>
      </w:tr>
      <w:tr>
        <w:trPr>
          <w:trHeight w:val="725" w:hRule="atLeast"/>
        </w:trPr>
        <w:tc>
          <w:tcPr>
            <w:tcW w:w="10776" w:type="dxa"/>
            <w:vAlign w:val="top"/>
            <w:gridSpan w:val="3"/>
          </w:tcPr>
          <w:p>
            <w:pPr>
              <w:pStyle w:val="TableText"/>
              <w:ind w:left="103" w:right="370" w:firstLine="17"/>
              <w:spacing w:before="51" w:line="232" w:lineRule="auto"/>
              <w:rPr/>
            </w:pPr>
            <w:r>
              <w:rPr>
                <w:b/>
                <w:bCs/>
                <w:spacing w:val="9"/>
              </w:rPr>
              <w:t>【行政监管措施】</w:t>
            </w:r>
            <w:r>
              <w:rPr>
                <w:b/>
                <w:bCs/>
                <w:spacing w:val="-31"/>
              </w:rPr>
              <w:t xml:space="preserve"> </w:t>
            </w:r>
            <w:r>
              <w:rPr>
                <w:spacing w:val="9"/>
              </w:rPr>
              <w:t>中国证券监督管理委员会宁波监管局决定对杉杉股份及公司董事长郑某、董事、副总经理</w:t>
            </w:r>
            <w:r>
              <w:rPr>
                <w:spacing w:val="8"/>
              </w:rPr>
              <w:t>李某</w:t>
            </w:r>
            <w:r>
              <w:rPr/>
              <w:t xml:space="preserve"> </w:t>
            </w:r>
            <w:r>
              <w:rPr>
                <w:spacing w:val="8"/>
              </w:rPr>
              <w:t>凤、财务总监李某勤、董事会秘书陈某采取出具警示函的行政监管措施， 并计入证券期货市场诚信档案。</w:t>
            </w:r>
          </w:p>
        </w:tc>
      </w:tr>
      <w:tr>
        <w:trPr>
          <w:trHeight w:val="724" w:hRule="atLeast"/>
        </w:trPr>
        <w:tc>
          <w:tcPr>
            <w:shd w:val="clear" w:fill="B8CCE4"/>
            <w:tcW w:w="1622" w:type="dxa"/>
            <w:vAlign w:val="top"/>
          </w:tcPr>
          <w:p>
            <w:pPr>
              <w:pStyle w:val="TableText"/>
              <w:ind w:left="444"/>
              <w:spacing w:before="288" w:line="178" w:lineRule="auto"/>
              <w:rPr/>
            </w:pPr>
            <w:r>
              <w:rPr>
                <w:spacing w:val="3"/>
              </w:rPr>
              <w:t>600800</w:t>
            </w:r>
          </w:p>
        </w:tc>
        <w:tc>
          <w:tcPr>
            <w:shd w:val="clear" w:fill="B8CCE4"/>
            <w:tcW w:w="1798" w:type="dxa"/>
            <w:vAlign w:val="top"/>
          </w:tcPr>
          <w:p>
            <w:pPr>
              <w:pStyle w:val="TableText"/>
              <w:ind w:left="469"/>
              <w:spacing w:before="273" w:line="189" w:lineRule="auto"/>
              <w:rPr/>
            </w:pPr>
            <w:r>
              <w:rPr>
                <w:spacing w:val="8"/>
              </w:rPr>
              <w:t>渤海化学</w:t>
            </w:r>
          </w:p>
        </w:tc>
        <w:tc>
          <w:tcPr>
            <w:shd w:val="clear" w:fill="B8CCE4"/>
            <w:tcW w:w="7356" w:type="dxa"/>
            <w:vAlign w:val="top"/>
          </w:tcPr>
          <w:p>
            <w:pPr>
              <w:pStyle w:val="TableText"/>
              <w:ind w:left="115" w:right="104" w:hanging="16"/>
              <w:spacing w:before="93" w:line="217" w:lineRule="auto"/>
              <w:rPr/>
            </w:pPr>
            <w:r>
              <w:rPr>
                <w:b/>
                <w:bCs/>
                <w:spacing w:val="18"/>
              </w:rPr>
              <w:t>未真实告知上市公司信息</w:t>
            </w:r>
            <w:r>
              <w:rPr>
                <w:spacing w:val="18"/>
              </w:rPr>
              <w:t>导致上市公司披露信息不真实 ； </w:t>
            </w:r>
            <w:r>
              <w:rPr>
                <w:b/>
                <w:bCs/>
                <w:spacing w:val="18"/>
              </w:rPr>
              <w:t>持股比例变动超</w:t>
            </w:r>
            <w:r>
              <w:rPr>
                <w:b/>
                <w:bCs/>
                <w:spacing w:val="5"/>
              </w:rPr>
              <w:t xml:space="preserve"> </w:t>
            </w:r>
            <w:r>
              <w:rPr>
                <w:b/>
                <w:bCs/>
                <w:spacing w:val="6"/>
              </w:rPr>
              <w:t>1%</w:t>
            </w:r>
            <w:r>
              <w:rPr>
                <w:spacing w:val="6"/>
              </w:rPr>
              <w:t>但未履行告知义务。</w:t>
            </w:r>
          </w:p>
        </w:tc>
      </w:tr>
      <w:tr>
        <w:trPr>
          <w:trHeight w:val="366" w:hRule="atLeast"/>
        </w:trPr>
        <w:tc>
          <w:tcPr>
            <w:tcW w:w="10776" w:type="dxa"/>
            <w:vAlign w:val="top"/>
            <w:gridSpan w:val="3"/>
          </w:tcPr>
          <w:p>
            <w:pPr>
              <w:pStyle w:val="TableText"/>
              <w:ind w:left="121"/>
              <w:spacing w:before="52" w:line="212" w:lineRule="auto"/>
              <w:rPr/>
            </w:pPr>
            <w:r>
              <w:rPr>
                <w:b/>
                <w:bCs/>
                <w:spacing w:val="9"/>
              </w:rPr>
              <w:t>【行政监管措施】</w:t>
            </w:r>
            <w:r>
              <w:rPr>
                <w:b/>
                <w:bCs/>
                <w:spacing w:val="-31"/>
              </w:rPr>
              <w:t xml:space="preserve"> </w:t>
            </w:r>
            <w:r>
              <w:rPr>
                <w:spacing w:val="9"/>
              </w:rPr>
              <w:t>中国证券监督管理委员会天津监管局决定对</w:t>
            </w:r>
            <w:r>
              <w:rPr>
                <w:spacing w:val="8"/>
              </w:rPr>
              <w:t>宋某行采取监管谈话的监督管理措施。</w:t>
            </w:r>
          </w:p>
        </w:tc>
      </w:tr>
      <w:tr>
        <w:trPr>
          <w:trHeight w:val="796" w:hRule="atLeast"/>
        </w:trPr>
        <w:tc>
          <w:tcPr>
            <w:shd w:val="clear" w:fill="B8CCE4"/>
            <w:tcW w:w="1622" w:type="dxa"/>
            <w:vAlign w:val="top"/>
          </w:tcPr>
          <w:p>
            <w:pPr>
              <w:pStyle w:val="TableText"/>
              <w:ind w:left="444"/>
              <w:spacing w:before="325" w:line="178" w:lineRule="auto"/>
              <w:rPr/>
            </w:pPr>
            <w:r>
              <w:rPr>
                <w:spacing w:val="3"/>
              </w:rPr>
              <w:t>600800</w:t>
            </w:r>
          </w:p>
        </w:tc>
        <w:tc>
          <w:tcPr>
            <w:shd w:val="clear" w:fill="B8CCE4"/>
            <w:tcW w:w="1798" w:type="dxa"/>
            <w:vAlign w:val="top"/>
          </w:tcPr>
          <w:p>
            <w:pPr>
              <w:pStyle w:val="TableText"/>
              <w:ind w:left="469"/>
              <w:spacing w:before="310" w:line="189" w:lineRule="auto"/>
              <w:rPr/>
            </w:pPr>
            <w:r>
              <w:rPr>
                <w:spacing w:val="8"/>
              </w:rPr>
              <w:t>渤海化学</w:t>
            </w:r>
          </w:p>
        </w:tc>
        <w:tc>
          <w:tcPr>
            <w:shd w:val="clear" w:fill="B8CCE4"/>
            <w:tcW w:w="7356" w:type="dxa"/>
            <w:vAlign w:val="top"/>
          </w:tcPr>
          <w:p>
            <w:pPr>
              <w:pStyle w:val="TableText"/>
              <w:ind w:left="99" w:right="200"/>
              <w:spacing w:before="122" w:line="232" w:lineRule="auto"/>
              <w:rPr/>
            </w:pPr>
            <w:r>
              <w:rPr>
                <w:spacing w:val="8"/>
              </w:rPr>
              <w:t>未真实告知上市公司信息导致上市公司</w:t>
            </w:r>
            <w:r>
              <w:rPr>
                <w:b/>
                <w:bCs/>
                <w:spacing w:val="8"/>
              </w:rPr>
              <w:t>披露信息不真实</w:t>
            </w:r>
            <w:r>
              <w:rPr>
                <w:spacing w:val="8"/>
              </w:rPr>
              <w:t>； </w:t>
            </w:r>
            <w:r>
              <w:rPr>
                <w:spacing w:val="7"/>
              </w:rPr>
              <w:t>持股比例变动</w:t>
            </w:r>
            <w:r>
              <w:rPr>
                <w:b/>
                <w:bCs/>
                <w:spacing w:val="7"/>
              </w:rPr>
              <w:t>超1%</w:t>
            </w:r>
            <w:r>
              <w:rPr>
                <w:b/>
                <w:bCs/>
              </w:rPr>
              <w:t xml:space="preserve"> </w:t>
            </w:r>
            <w:r>
              <w:rPr>
                <w:spacing w:val="8"/>
              </w:rPr>
              <w:t>但未履行告知义务。</w:t>
            </w:r>
          </w:p>
        </w:tc>
      </w:tr>
      <w:tr>
        <w:trPr>
          <w:trHeight w:val="734" w:hRule="atLeast"/>
        </w:trPr>
        <w:tc>
          <w:tcPr>
            <w:tcW w:w="10776" w:type="dxa"/>
            <w:vAlign w:val="top"/>
            <w:gridSpan w:val="3"/>
          </w:tcPr>
          <w:p>
            <w:pPr>
              <w:pStyle w:val="TableText"/>
              <w:ind w:left="105" w:right="104" w:firstLine="15"/>
              <w:spacing w:before="51" w:line="235" w:lineRule="auto"/>
              <w:rPr/>
            </w:pPr>
            <w:r>
              <w:rPr>
                <w:b/>
                <w:bCs/>
                <w:spacing w:val="10"/>
              </w:rPr>
              <w:t>【行政监管措施】</w:t>
            </w:r>
            <w:r>
              <w:rPr>
                <w:b/>
                <w:bCs/>
                <w:spacing w:val="-26"/>
              </w:rPr>
              <w:t xml:space="preserve"> </w:t>
            </w:r>
            <w:r>
              <w:rPr>
                <w:spacing w:val="10"/>
              </w:rPr>
              <w:t>中国证券监督管理委员会天津监管局决定对河北海航石化新型材料有限公司采取责令改正的行政</w:t>
            </w:r>
            <w:r>
              <w:rPr/>
              <w:t xml:space="preserve"> </w:t>
            </w:r>
            <w:r>
              <w:rPr>
                <w:spacing w:val="5"/>
              </w:rPr>
              <w:t>监管措施， 并记入证券期货市场诚信档案。</w:t>
            </w:r>
          </w:p>
        </w:tc>
      </w:tr>
    </w:tbl>
    <w:p>
      <w:pPr>
        <w:pStyle w:val="BodyText"/>
        <w:spacing w:line="293" w:lineRule="auto"/>
        <w:rPr/>
      </w:pPr>
      <w:r/>
    </w:p>
    <w:p>
      <w:pPr>
        <w:pStyle w:val="BodyText"/>
        <w:spacing w:line="294" w:lineRule="auto"/>
        <w:rPr/>
      </w:pPr>
      <w:r/>
    </w:p>
    <w:p>
      <w:pPr>
        <w:ind w:left="496"/>
        <w:spacing w:before="103"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4"/>
        </w:rPr>
        <w:t>（4） 立案调查</w:t>
      </w:r>
    </w:p>
    <w:p>
      <w:pPr>
        <w:spacing w:line="184" w:lineRule="exact"/>
        <w:rPr/>
      </w:pPr>
      <w:r/>
    </w:p>
    <w:tbl>
      <w:tblPr>
        <w:tblStyle w:val="TableNormal"/>
        <w:tblW w:w="10776"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622"/>
        <w:gridCol w:w="1798"/>
        <w:gridCol w:w="7356"/>
      </w:tblGrid>
      <w:tr>
        <w:trPr>
          <w:trHeight w:val="385" w:hRule="atLeast"/>
        </w:trPr>
        <w:tc>
          <w:tcPr>
            <w:shd w:val="clear" w:fill="4F81BD"/>
            <w:tcW w:w="1622" w:type="dxa"/>
            <w:vAlign w:val="top"/>
            <w:tcBorders>
              <w:bottom w:val="single" w:color="FFFFFF" w:sz="2" w:space="0"/>
            </w:tcBorders>
          </w:tcPr>
          <w:p>
            <w:pPr>
              <w:pStyle w:val="TableText"/>
              <w:ind w:left="386"/>
              <w:spacing w:before="107" w:line="187" w:lineRule="auto"/>
              <w:rPr/>
            </w:pPr>
            <w:r>
              <w:rPr>
                <w:b/>
                <w:bCs/>
                <w:color w:val="FFFFFF"/>
                <w:spacing w:val="8"/>
              </w:rPr>
              <w:t>公司代码</w:t>
            </w:r>
          </w:p>
        </w:tc>
        <w:tc>
          <w:tcPr>
            <w:shd w:val="clear" w:fill="4F81BD"/>
            <w:tcW w:w="1798" w:type="dxa"/>
            <w:vAlign w:val="top"/>
            <w:tcBorders>
              <w:bottom w:val="single" w:color="FFFFFF" w:sz="2" w:space="0"/>
            </w:tcBorders>
          </w:tcPr>
          <w:p>
            <w:pPr>
              <w:pStyle w:val="TableText"/>
              <w:ind w:left="470"/>
              <w:spacing w:before="109" w:line="186" w:lineRule="auto"/>
              <w:rPr/>
            </w:pPr>
            <w:r>
              <w:rPr>
                <w:b/>
                <w:bCs/>
                <w:color w:val="FFFFFF"/>
                <w:spacing w:val="8"/>
              </w:rPr>
              <w:t>公司简称</w:t>
            </w:r>
          </w:p>
        </w:tc>
        <w:tc>
          <w:tcPr>
            <w:shd w:val="clear" w:fill="4F81BD"/>
            <w:tcW w:w="7356" w:type="dxa"/>
            <w:vAlign w:val="top"/>
            <w:tcBorders>
              <w:bottom w:val="single" w:color="FFFFFF" w:sz="2" w:space="0"/>
            </w:tcBorders>
          </w:tcPr>
          <w:p>
            <w:pPr>
              <w:pStyle w:val="TableText"/>
              <w:ind w:left="3251"/>
              <w:spacing w:before="107" w:line="187" w:lineRule="auto"/>
              <w:rPr/>
            </w:pPr>
            <w:r>
              <w:rPr>
                <w:b/>
                <w:bCs/>
                <w:color w:val="FFFFFF"/>
                <w:spacing w:val="8"/>
              </w:rPr>
              <w:t>违规行为</w:t>
            </w:r>
          </w:p>
        </w:tc>
      </w:tr>
      <w:tr>
        <w:trPr>
          <w:trHeight w:val="1133" w:hRule="atLeast"/>
        </w:trPr>
        <w:tc>
          <w:tcPr>
            <w:tcW w:w="1622" w:type="dxa"/>
            <w:vAlign w:val="top"/>
            <w:tcBorders>
              <w:top w:val="single" w:color="FFFFFF" w:sz="2" w:space="0"/>
            </w:tcBorders>
          </w:tcPr>
          <w:p>
            <w:pPr>
              <w:spacing w:line="400" w:lineRule="auto"/>
              <w:rPr>
                <w:rFonts w:ascii="Arial"/>
                <w:sz w:val="21"/>
              </w:rPr>
            </w:pPr>
            <w:r/>
          </w:p>
          <w:p>
            <w:pPr>
              <w:pStyle w:val="TableText"/>
              <w:ind w:left="444"/>
              <w:spacing w:before="86" w:line="178" w:lineRule="auto"/>
              <w:rPr/>
            </w:pPr>
            <w:r>
              <w:rPr>
                <w:spacing w:val="3"/>
              </w:rPr>
              <w:t>600387</w:t>
            </w:r>
          </w:p>
        </w:tc>
        <w:tc>
          <w:tcPr>
            <w:tcW w:w="1798" w:type="dxa"/>
            <w:vAlign w:val="top"/>
            <w:tcBorders>
              <w:top w:val="single" w:color="FFFFFF" w:sz="2" w:space="0"/>
            </w:tcBorders>
          </w:tcPr>
          <w:p>
            <w:pPr>
              <w:spacing w:line="370" w:lineRule="auto"/>
              <w:rPr>
                <w:rFonts w:ascii="Arial"/>
                <w:sz w:val="21"/>
              </w:rPr>
            </w:pPr>
            <w:r/>
          </w:p>
          <w:p>
            <w:pPr>
              <w:pStyle w:val="TableText"/>
              <w:ind w:left="499"/>
              <w:spacing w:before="94" w:line="183" w:lineRule="auto"/>
              <w:rPr>
                <w:sz w:val="22"/>
                <w:szCs w:val="22"/>
              </w:rPr>
            </w:pPr>
            <w:r>
              <w:rPr>
                <w:sz w:val="22"/>
                <w:szCs w:val="22"/>
                <w:spacing w:val="-2"/>
              </w:rPr>
              <w:t>*ST海越</w:t>
            </w:r>
          </w:p>
        </w:tc>
        <w:tc>
          <w:tcPr>
            <w:tcW w:w="7356" w:type="dxa"/>
            <w:vAlign w:val="top"/>
            <w:tcBorders>
              <w:top w:val="single" w:color="FFFFFF" w:sz="2" w:space="0"/>
            </w:tcBorders>
          </w:tcPr>
          <w:p>
            <w:pPr>
              <w:pStyle w:val="TableText"/>
              <w:ind w:left="99" w:right="202" w:firstLine="15"/>
              <w:spacing w:before="47" w:line="228" w:lineRule="auto"/>
              <w:rPr>
                <w:sz w:val="22"/>
                <w:szCs w:val="22"/>
              </w:rPr>
            </w:pPr>
            <w:r>
              <w:rPr>
                <w:sz w:val="22"/>
                <w:szCs w:val="22"/>
                <w:spacing w:val="-3"/>
              </w:rPr>
              <w:t>因</w:t>
            </w:r>
            <w:r>
              <w:rPr>
                <w:sz w:val="22"/>
                <w:szCs w:val="22"/>
                <w:b/>
                <w:bCs/>
                <w:spacing w:val="-3"/>
              </w:rPr>
              <w:t>涉嫌信息披露违法违规</w:t>
            </w:r>
            <w:r>
              <w:rPr>
                <w:sz w:val="22"/>
                <w:szCs w:val="22"/>
                <w:spacing w:val="-3"/>
              </w:rPr>
              <w:t>， 根据《中华人民共和国证券法》《中华人民共</w:t>
            </w:r>
            <w:r>
              <w:rPr>
                <w:sz w:val="22"/>
                <w:szCs w:val="22"/>
                <w:spacing w:val="16"/>
              </w:rPr>
              <w:t xml:space="preserve"> </w:t>
            </w:r>
            <w:r>
              <w:rPr>
                <w:sz w:val="22"/>
                <w:szCs w:val="22"/>
                <w:spacing w:val="-2"/>
              </w:rPr>
              <w:t>和国行政处罚法》等法律法规， 中国证券监督管理委员会决定</w:t>
            </w:r>
            <w:r>
              <w:rPr>
                <w:sz w:val="22"/>
                <w:szCs w:val="22"/>
                <w:spacing w:val="-3"/>
              </w:rPr>
              <w:t>对公司立</w:t>
            </w:r>
            <w:r>
              <w:rPr>
                <w:sz w:val="22"/>
                <w:szCs w:val="22"/>
              </w:rPr>
              <w:t xml:space="preserve">    </w:t>
            </w:r>
            <w:r>
              <w:rPr>
                <w:sz w:val="22"/>
                <w:szCs w:val="22"/>
                <w:spacing w:val="-1"/>
              </w:rPr>
              <w:t>案。</w:t>
            </w:r>
          </w:p>
        </w:tc>
      </w:tr>
      <w:tr>
        <w:trPr>
          <w:trHeight w:val="386" w:hRule="atLeast"/>
        </w:trPr>
        <w:tc>
          <w:tcPr>
            <w:shd w:val="clear" w:fill="C7DAF1"/>
            <w:tcW w:w="1622" w:type="dxa"/>
            <w:vAlign w:val="top"/>
          </w:tcPr>
          <w:p>
            <w:pPr>
              <w:pStyle w:val="TableText"/>
              <w:ind w:left="444"/>
              <w:spacing w:before="116" w:line="178" w:lineRule="auto"/>
              <w:rPr/>
            </w:pPr>
            <w:r>
              <w:rPr>
                <w:spacing w:val="3"/>
              </w:rPr>
              <w:t>600387</w:t>
            </w:r>
          </w:p>
        </w:tc>
        <w:tc>
          <w:tcPr>
            <w:shd w:val="clear" w:fill="C7DAF1"/>
            <w:tcW w:w="1798" w:type="dxa"/>
            <w:vAlign w:val="top"/>
          </w:tcPr>
          <w:p>
            <w:pPr>
              <w:pStyle w:val="TableText"/>
              <w:ind w:left="499"/>
              <w:spacing w:before="92" w:line="180" w:lineRule="auto"/>
              <w:rPr>
                <w:sz w:val="22"/>
                <w:szCs w:val="22"/>
              </w:rPr>
            </w:pPr>
            <w:r>
              <w:rPr>
                <w:sz w:val="22"/>
                <w:szCs w:val="22"/>
                <w:spacing w:val="-2"/>
              </w:rPr>
              <w:t>*ST海越</w:t>
            </w:r>
          </w:p>
        </w:tc>
        <w:tc>
          <w:tcPr>
            <w:shd w:val="clear" w:fill="C7DAF1"/>
            <w:tcW w:w="7356" w:type="dxa"/>
            <w:vAlign w:val="top"/>
          </w:tcPr>
          <w:p>
            <w:pPr>
              <w:pStyle w:val="TableText"/>
              <w:ind w:left="114"/>
              <w:spacing w:before="52" w:line="206" w:lineRule="auto"/>
              <w:rPr>
                <w:sz w:val="22"/>
                <w:szCs w:val="22"/>
              </w:rPr>
            </w:pPr>
            <w:r>
              <w:rPr>
                <w:sz w:val="22"/>
                <w:szCs w:val="22"/>
                <w:spacing w:val="-3"/>
              </w:rPr>
              <w:t>因</w:t>
            </w:r>
            <w:r>
              <w:rPr>
                <w:sz w:val="22"/>
                <w:szCs w:val="22"/>
                <w:b/>
                <w:bCs/>
                <w:spacing w:val="-3"/>
              </w:rPr>
              <w:t>涉嫌信息披露违法违规</w:t>
            </w:r>
            <w:r>
              <w:rPr>
                <w:sz w:val="22"/>
                <w:szCs w:val="22"/>
                <w:spacing w:val="-3"/>
              </w:rPr>
              <w:t>， 根据《中华人民共和国证券法》《中华人民共</w:t>
            </w:r>
          </w:p>
        </w:tc>
      </w:tr>
    </w:tbl>
    <w:p>
      <w:pPr>
        <w:pStyle w:val="BodyText"/>
        <w:rPr/>
      </w:pPr>
      <w:r/>
    </w:p>
    <w:p>
      <w:pPr>
        <w:sectPr>
          <w:pgSz w:w="11910" w:h="16840"/>
          <w:pgMar w:top="400" w:right="659" w:bottom="0" w:left="459" w:header="0" w:footer="0" w:gutter="0"/>
        </w:sectPr>
        <w:rPr/>
      </w:pPr>
    </w:p>
    <w:tbl>
      <w:tblPr>
        <w:tblStyle w:val="TableNormal"/>
        <w:tblW w:w="10776"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622"/>
        <w:gridCol w:w="1798"/>
        <w:gridCol w:w="7356"/>
      </w:tblGrid>
      <w:tr>
        <w:trPr>
          <w:trHeight w:val="773" w:hRule="atLeast"/>
        </w:trPr>
        <w:tc>
          <w:tcPr>
            <w:shd w:val="clear" w:fill="C7DAF1"/>
            <w:tcW w:w="1622" w:type="dxa"/>
            <w:vAlign w:val="top"/>
            <w:tcBorders>
              <w:top w:val="single" w:color="FFFFFF" w:sz="2" w:space="0"/>
            </w:tcBorders>
          </w:tcPr>
          <w:p>
            <w:pPr>
              <w:rPr>
                <w:rFonts w:ascii="Arial"/>
                <w:sz w:val="21"/>
              </w:rPr>
            </w:pPr>
            <w:r/>
          </w:p>
        </w:tc>
        <w:tc>
          <w:tcPr>
            <w:shd w:val="clear" w:fill="C7DAF1"/>
            <w:tcW w:w="1798" w:type="dxa"/>
            <w:vAlign w:val="top"/>
            <w:tcBorders>
              <w:top w:val="single" w:color="FFFFFF" w:sz="2" w:space="0"/>
            </w:tcBorders>
          </w:tcPr>
          <w:p>
            <w:pPr>
              <w:rPr>
                <w:rFonts w:ascii="Arial"/>
                <w:sz w:val="21"/>
              </w:rPr>
            </w:pPr>
            <w:r/>
          </w:p>
        </w:tc>
        <w:tc>
          <w:tcPr>
            <w:shd w:val="clear" w:fill="C7DAF1"/>
            <w:tcW w:w="7356" w:type="dxa"/>
            <w:vAlign w:val="top"/>
            <w:tcBorders>
              <w:top w:val="single" w:color="FFFFFF" w:sz="2" w:space="0"/>
            </w:tcBorders>
          </w:tcPr>
          <w:p>
            <w:pPr>
              <w:pStyle w:val="TableText"/>
              <w:ind w:left="100" w:right="202" w:hanging="1"/>
              <w:spacing w:before="61" w:line="223" w:lineRule="auto"/>
              <w:rPr>
                <w:sz w:val="22"/>
                <w:szCs w:val="22"/>
              </w:rPr>
            </w:pPr>
            <w:r>
              <w:rPr>
                <w:sz w:val="22"/>
                <w:szCs w:val="22"/>
                <w:spacing w:val="-2"/>
              </w:rPr>
              <w:t>和国行政处罚法》等法律法规， 中国证券监督管理委员会决定对控股股东</w:t>
            </w:r>
            <w:r>
              <w:rPr>
                <w:sz w:val="22"/>
                <w:szCs w:val="22"/>
              </w:rPr>
              <w:t xml:space="preserve"> </w:t>
            </w:r>
            <w:r>
              <w:rPr>
                <w:sz w:val="22"/>
                <w:szCs w:val="22"/>
                <w:spacing w:val="-1"/>
              </w:rPr>
              <w:t>高鑫金控立案。</w:t>
            </w:r>
          </w:p>
        </w:tc>
      </w:tr>
      <w:tr>
        <w:trPr>
          <w:trHeight w:val="1138" w:hRule="atLeast"/>
        </w:trPr>
        <w:tc>
          <w:tcPr>
            <w:tcW w:w="1622" w:type="dxa"/>
            <w:vAlign w:val="top"/>
          </w:tcPr>
          <w:p>
            <w:pPr>
              <w:spacing w:line="396" w:lineRule="auto"/>
              <w:rPr>
                <w:rFonts w:ascii="Arial"/>
                <w:sz w:val="21"/>
              </w:rPr>
            </w:pPr>
            <w:r/>
          </w:p>
          <w:p>
            <w:pPr>
              <w:pStyle w:val="TableText"/>
              <w:ind w:left="441"/>
              <w:spacing w:before="86" w:line="179" w:lineRule="auto"/>
              <w:rPr/>
            </w:pPr>
            <w:r>
              <w:rPr>
                <w:spacing w:val="3"/>
              </w:rPr>
              <w:t>002712</w:t>
            </w:r>
          </w:p>
        </w:tc>
        <w:tc>
          <w:tcPr>
            <w:tcW w:w="1798" w:type="dxa"/>
            <w:vAlign w:val="top"/>
          </w:tcPr>
          <w:p>
            <w:pPr>
              <w:spacing w:line="381" w:lineRule="auto"/>
              <w:rPr>
                <w:rFonts w:ascii="Arial"/>
                <w:sz w:val="21"/>
              </w:rPr>
            </w:pPr>
            <w:r/>
          </w:p>
          <w:p>
            <w:pPr>
              <w:pStyle w:val="TableText"/>
              <w:ind w:left="469"/>
              <w:spacing w:before="86" w:line="190" w:lineRule="auto"/>
              <w:rPr/>
            </w:pPr>
            <w:r>
              <w:rPr>
                <w:spacing w:val="8"/>
              </w:rPr>
              <w:t>思美传媒</w:t>
            </w:r>
          </w:p>
        </w:tc>
        <w:tc>
          <w:tcPr>
            <w:tcW w:w="7356" w:type="dxa"/>
            <w:vAlign w:val="top"/>
          </w:tcPr>
          <w:p>
            <w:pPr>
              <w:pStyle w:val="TableText"/>
              <w:ind w:left="100" w:right="202" w:firstLine="16"/>
              <w:spacing w:before="47" w:line="229" w:lineRule="auto"/>
              <w:jc w:val="both"/>
              <w:rPr>
                <w:sz w:val="22"/>
                <w:szCs w:val="22"/>
              </w:rPr>
            </w:pPr>
            <w:r>
              <w:rPr>
                <w:sz w:val="22"/>
                <w:szCs w:val="22"/>
                <w:spacing w:val="-3"/>
              </w:rPr>
              <w:t>四川旅投集团、朱某虬、首创投资因涉嫌信息披露违法违规， 根据《中华</w:t>
            </w:r>
            <w:r>
              <w:rPr>
                <w:sz w:val="22"/>
                <w:szCs w:val="22"/>
                <w:spacing w:val="14"/>
              </w:rPr>
              <w:t xml:space="preserve"> </w:t>
            </w:r>
            <w:r>
              <w:rPr>
                <w:sz w:val="22"/>
                <w:szCs w:val="22"/>
                <w:spacing w:val="-2"/>
              </w:rPr>
              <w:t>人民共和国证券法》《中华人民共和国行政处罚法》等法律法规， 中</w:t>
            </w:r>
            <w:r>
              <w:rPr>
                <w:sz w:val="22"/>
                <w:szCs w:val="22"/>
                <w:spacing w:val="-3"/>
              </w:rPr>
              <w:t>国证</w:t>
            </w:r>
            <w:r>
              <w:rPr>
                <w:sz w:val="22"/>
                <w:szCs w:val="22"/>
              </w:rPr>
              <w:t xml:space="preserve"> </w:t>
            </w:r>
            <w:r>
              <w:rPr>
                <w:sz w:val="22"/>
                <w:szCs w:val="22"/>
              </w:rPr>
              <w:t>监会决定对控股股东四川旅投集团、朱某虬、首创投资</w:t>
            </w:r>
            <w:r>
              <w:rPr>
                <w:sz w:val="22"/>
                <w:szCs w:val="22"/>
                <w:spacing w:val="-1"/>
              </w:rPr>
              <w:t>立案。</w:t>
            </w:r>
          </w:p>
        </w:tc>
      </w:tr>
    </w:tbl>
    <w:p>
      <w:pPr>
        <w:pStyle w:val="BodyText"/>
        <w:rPr/>
      </w:pPr>
      <w:r/>
    </w:p>
    <w:p>
      <w:pPr>
        <w:sectPr>
          <w:pgSz w:w="11910" w:h="16840"/>
          <w:pgMar w:top="400" w:right="659" w:bottom="0" w:left="459" w:header="0" w:footer="0" w:gutter="0"/>
        </w:sectPr>
        <w:rPr/>
      </w:pPr>
    </w:p>
    <w:p>
      <w:pPr>
        <w:pStyle w:val="BodyText"/>
        <w:spacing w:line="375" w:lineRule="auto"/>
        <w:rPr/>
      </w:pPr>
      <w:r/>
    </w:p>
    <w:p>
      <w:pPr>
        <w:spacing w:line="924" w:lineRule="exact"/>
        <w:rPr/>
      </w:pPr>
      <w:r>
        <w:rPr>
          <w:position w:val="-18"/>
        </w:rPr>
        <w:pict>
          <v:group id="_x0000_s24" style="mso-position-vertical-relative:line;mso-position-horizontal-relative:char;width:134.8pt;height:46.25pt;" filled="false" stroked="false" coordsize="2696,925" coordorigin="0,0">
            <v:shape id="_x0000_s26" style="position:absolute;left:0;top:0;width:2696;height:925;" filled="false" stroked="false" type="#_x0000_t75">
              <v:imagedata o:title="" r:id="rId16"/>
            </v:shape>
            <v:shape id="_x0000_s28" style="position:absolute;left:-20;top:-20;width:2736;height:965;" filled="false" stroked="false" type="#_x0000_t202">
              <v:fill on="false"/>
              <v:stroke on="false"/>
              <v:path/>
              <v:imagedata o:title=""/>
              <o:lock v:ext="edit" aspectratio="false"/>
              <v:textbox inset="0mm,0mm,0mm,0mm">
                <w:txbxContent>
                  <w:p>
                    <w:pPr>
                      <w:ind w:left="373"/>
                      <w:spacing w:before="243" w:line="183"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FFFFFF"/>
                        <w:spacing w:val="-1"/>
                      </w:rPr>
                      <w:t>上交所监管动态</w:t>
                    </w:r>
                  </w:p>
                </w:txbxContent>
              </v:textbox>
            </v:shape>
          </v:group>
        </w:pict>
      </w:r>
    </w:p>
    <w:p>
      <w:pPr>
        <w:ind w:left="902"/>
        <w:spacing w:before="149"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5"/>
        </w:rPr>
        <w:t>1、上市公司监管动态</w:t>
      </w:r>
    </w:p>
    <w:p>
      <w:pPr>
        <w:ind w:left="459" w:right="82" w:firstLine="473"/>
        <w:spacing w:before="174" w:line="359" w:lineRule="auto"/>
        <w:rPr>
          <w:rFonts w:ascii="Microsoft YaHei" w:hAnsi="Microsoft YaHei" w:eastAsia="Microsoft YaHei" w:cs="Microsoft YaHei"/>
          <w:sz w:val="24"/>
          <w:szCs w:val="24"/>
        </w:rPr>
      </w:pPr>
      <w:r>
        <w:rPr>
          <w:rFonts w:ascii="Microsoft YaHei" w:hAnsi="Microsoft YaHei" w:eastAsia="Microsoft YaHei" w:cs="Microsoft YaHei"/>
          <w:sz w:val="24"/>
          <w:szCs w:val="24"/>
        </w:rPr>
        <w:t>2024年6月24日-6月30日， 上交所公司监管部门作出5份监管警示函， 对7宗行为予以纪</w:t>
      </w:r>
      <w:r>
        <w:rPr>
          <w:rFonts w:ascii="Microsoft YaHei" w:hAnsi="Microsoft YaHei" w:eastAsia="Microsoft YaHei" w:cs="Microsoft YaHei"/>
          <w:sz w:val="24"/>
          <w:szCs w:val="24"/>
          <w:spacing w:val="-1"/>
        </w:rPr>
        <w:t>律处分。</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4"/>
        </w:rPr>
        <w:t>同时， 加大信息披露和股价异常的联动监管， 针对公司披露敏感信息或股</w:t>
      </w:r>
      <w:r>
        <w:rPr>
          <w:rFonts w:ascii="Microsoft YaHei" w:hAnsi="Microsoft YaHei" w:eastAsia="Microsoft YaHei" w:cs="Microsoft YaHei"/>
          <w:sz w:val="24"/>
          <w:szCs w:val="24"/>
          <w:spacing w:val="-5"/>
        </w:rPr>
        <w:t>价发生明显异常的， 提请启动</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2"/>
        </w:rPr>
        <w:t>内幕交易、异常交易核查12单。</w:t>
      </w:r>
    </w:p>
    <w:p>
      <w:pPr>
        <w:pStyle w:val="BodyText"/>
        <w:spacing w:line="267" w:lineRule="auto"/>
        <w:rPr/>
      </w:pPr>
      <w:r/>
    </w:p>
    <w:p>
      <w:pPr>
        <w:ind w:firstLine="1731"/>
        <w:spacing w:line="5184" w:lineRule="exact"/>
        <w:rPr/>
      </w:pPr>
      <w:r>
        <w:rPr>
          <w:position w:val="-103"/>
        </w:rPr>
        <w:drawing>
          <wp:inline distT="0" distB="0" distL="0" distR="0">
            <wp:extent cx="5495925" cy="3291840"/>
            <wp:effectExtent l="0" t="0" r="0" b="0"/>
            <wp:docPr id="26" name="IM 26"/>
            <wp:cNvGraphicFramePr/>
            <a:graphic>
              <a:graphicData uri="http://schemas.openxmlformats.org/drawingml/2006/picture">
                <pic:pic>
                  <pic:nvPicPr>
                    <pic:cNvPr id="26" name="IM 26"/>
                    <pic:cNvPicPr/>
                  </pic:nvPicPr>
                  <pic:blipFill>
                    <a:blip r:embed="rId17"/>
                    <a:stretch>
                      <a:fillRect/>
                    </a:stretch>
                  </pic:blipFill>
                  <pic:spPr>
                    <a:xfrm rot="0">
                      <a:off x="0" y="0"/>
                      <a:ext cx="5495925" cy="3291840"/>
                    </a:xfrm>
                    <a:prstGeom prst="rect">
                      <a:avLst/>
                    </a:prstGeom>
                  </pic:spPr>
                </pic:pic>
              </a:graphicData>
            </a:graphic>
          </wp:inline>
        </w:drawing>
      </w:r>
    </w:p>
    <w:p>
      <w:pPr>
        <w:pStyle w:val="BodyText"/>
        <w:spacing w:line="303" w:lineRule="auto"/>
        <w:rPr/>
      </w:pPr>
      <w:r/>
    </w:p>
    <w:p>
      <w:pPr>
        <w:pStyle w:val="BodyText"/>
        <w:spacing w:line="303" w:lineRule="auto"/>
        <w:rPr/>
      </w:pPr>
      <w:r/>
    </w:p>
    <w:p>
      <w:pPr>
        <w:ind w:left="956"/>
        <w:spacing w:before="104"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1"/>
        </w:rPr>
        <w:t>（1） 监管措施统计</w:t>
      </w:r>
    </w:p>
    <w:p>
      <w:pPr>
        <w:spacing w:line="211" w:lineRule="exact"/>
        <w:rPr/>
      </w:pPr>
      <w:r/>
    </w:p>
    <w:tbl>
      <w:tblPr>
        <w:tblStyle w:val="TableNormal"/>
        <w:tblW w:w="10776" w:type="dxa"/>
        <w:tblInd w:w="566"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558"/>
        <w:gridCol w:w="1485"/>
        <w:gridCol w:w="1618"/>
        <w:gridCol w:w="6115"/>
      </w:tblGrid>
      <w:tr>
        <w:trPr>
          <w:trHeight w:val="378" w:hRule="atLeast"/>
        </w:trPr>
        <w:tc>
          <w:tcPr>
            <w:shd w:val="clear" w:fill="C0504D"/>
            <w:tcW w:w="1558" w:type="dxa"/>
            <w:vAlign w:val="top"/>
            <w:tcBorders>
              <w:bottom w:val="single" w:color="FFFFFF" w:sz="10" w:space="0"/>
            </w:tcBorders>
          </w:tcPr>
          <w:p>
            <w:pPr>
              <w:pStyle w:val="TableText"/>
              <w:ind w:left="353"/>
              <w:spacing w:before="91" w:line="189" w:lineRule="auto"/>
              <w:rPr/>
            </w:pPr>
            <w:r>
              <w:rPr>
                <w:b/>
                <w:bCs/>
                <w:color w:val="FFFFFF"/>
                <w:spacing w:val="8"/>
              </w:rPr>
              <w:t>公司代码</w:t>
            </w:r>
          </w:p>
        </w:tc>
        <w:tc>
          <w:tcPr>
            <w:shd w:val="clear" w:fill="C0504D"/>
            <w:tcW w:w="1485" w:type="dxa"/>
            <w:vAlign w:val="top"/>
            <w:tcBorders>
              <w:bottom w:val="single" w:color="FFFFFF" w:sz="10" w:space="0"/>
            </w:tcBorders>
          </w:tcPr>
          <w:p>
            <w:pPr>
              <w:pStyle w:val="TableText"/>
              <w:ind w:left="314"/>
              <w:spacing w:before="91" w:line="189" w:lineRule="auto"/>
              <w:rPr/>
            </w:pPr>
            <w:r>
              <w:rPr>
                <w:b/>
                <w:bCs/>
                <w:color w:val="FFFFFF"/>
                <w:spacing w:val="8"/>
              </w:rPr>
              <w:t>公司简称</w:t>
            </w:r>
          </w:p>
        </w:tc>
        <w:tc>
          <w:tcPr>
            <w:shd w:val="clear" w:fill="C0504D"/>
            <w:tcW w:w="1618" w:type="dxa"/>
            <w:vAlign w:val="top"/>
            <w:tcBorders>
              <w:bottom w:val="single" w:color="FFFFFF" w:sz="10" w:space="0"/>
            </w:tcBorders>
          </w:tcPr>
          <w:p>
            <w:pPr>
              <w:pStyle w:val="TableText"/>
              <w:ind w:left="392"/>
              <w:spacing w:before="92" w:line="188" w:lineRule="auto"/>
              <w:rPr/>
            </w:pPr>
            <w:r>
              <w:rPr>
                <w:b/>
                <w:bCs/>
                <w:color w:val="FFFFFF"/>
                <w:spacing w:val="5"/>
              </w:rPr>
              <w:t>函件类别</w:t>
            </w:r>
          </w:p>
        </w:tc>
        <w:tc>
          <w:tcPr>
            <w:shd w:val="clear" w:fill="C0504D"/>
            <w:tcW w:w="6115" w:type="dxa"/>
            <w:vAlign w:val="top"/>
            <w:tcBorders>
              <w:bottom w:val="single" w:color="FFFFFF" w:sz="10" w:space="0"/>
            </w:tcBorders>
          </w:tcPr>
          <w:p>
            <w:pPr>
              <w:pStyle w:val="TableText"/>
              <w:ind w:left="2632"/>
              <w:spacing w:before="91" w:line="189" w:lineRule="auto"/>
              <w:rPr/>
            </w:pPr>
            <w:r>
              <w:rPr>
                <w:b/>
                <w:bCs/>
                <w:color w:val="FFFFFF"/>
                <w:spacing w:val="8"/>
              </w:rPr>
              <w:t>违规类型</w:t>
            </w:r>
          </w:p>
        </w:tc>
      </w:tr>
      <w:tr>
        <w:trPr>
          <w:trHeight w:val="377" w:hRule="atLeast"/>
        </w:trPr>
        <w:tc>
          <w:tcPr>
            <w:shd w:val="clear" w:fill="F2DCDC"/>
            <w:tcW w:w="1558" w:type="dxa"/>
            <w:vAlign w:val="top"/>
            <w:tcBorders>
              <w:top w:val="single" w:color="FFFFFF" w:sz="10" w:space="0"/>
            </w:tcBorders>
          </w:tcPr>
          <w:p>
            <w:pPr>
              <w:pStyle w:val="TableText"/>
              <w:ind w:left="396"/>
              <w:spacing w:before="96" w:line="172" w:lineRule="auto"/>
              <w:rPr>
                <w:sz w:val="22"/>
                <w:szCs w:val="22"/>
              </w:rPr>
            </w:pPr>
            <w:r>
              <w:rPr>
                <w:sz w:val="22"/>
                <w:szCs w:val="22"/>
                <w:spacing w:val="-2"/>
              </w:rPr>
              <w:t>600543</w:t>
            </w:r>
          </w:p>
        </w:tc>
        <w:tc>
          <w:tcPr>
            <w:shd w:val="clear" w:fill="F2DCDC"/>
            <w:tcW w:w="1485" w:type="dxa"/>
            <w:vAlign w:val="top"/>
            <w:tcBorders>
              <w:top w:val="single" w:color="FFFFFF" w:sz="10" w:space="0"/>
            </w:tcBorders>
          </w:tcPr>
          <w:p>
            <w:pPr>
              <w:pStyle w:val="TableText"/>
              <w:ind w:left="343"/>
              <w:spacing w:before="79" w:line="183" w:lineRule="auto"/>
              <w:rPr>
                <w:sz w:val="22"/>
                <w:szCs w:val="22"/>
              </w:rPr>
            </w:pPr>
            <w:r>
              <w:rPr>
                <w:sz w:val="22"/>
                <w:szCs w:val="22"/>
                <w:spacing w:val="-2"/>
              </w:rPr>
              <w:t>*ST莫高</w:t>
            </w:r>
          </w:p>
        </w:tc>
        <w:tc>
          <w:tcPr>
            <w:shd w:val="clear" w:fill="F2DCDC"/>
            <w:tcW w:w="1618" w:type="dxa"/>
            <w:vAlign w:val="top"/>
            <w:tcBorders>
              <w:top w:val="single" w:color="FFFFFF" w:sz="10" w:space="0"/>
            </w:tcBorders>
          </w:tcPr>
          <w:p>
            <w:pPr>
              <w:pStyle w:val="TableText"/>
              <w:ind w:left="364"/>
              <w:spacing w:before="80" w:line="182" w:lineRule="auto"/>
              <w:rPr>
                <w:sz w:val="22"/>
                <w:szCs w:val="22"/>
              </w:rPr>
            </w:pPr>
            <w:r>
              <w:rPr>
                <w:sz w:val="22"/>
                <w:szCs w:val="22"/>
                <w:spacing w:val="-1"/>
              </w:rPr>
              <w:t>监管警示</w:t>
            </w:r>
          </w:p>
        </w:tc>
        <w:tc>
          <w:tcPr>
            <w:shd w:val="clear" w:fill="F2DCDC"/>
            <w:tcW w:w="6115" w:type="dxa"/>
            <w:vAlign w:val="top"/>
            <w:tcBorders>
              <w:top w:val="single" w:color="FFFFFF" w:sz="10" w:space="0"/>
            </w:tcBorders>
          </w:tcPr>
          <w:p>
            <w:pPr>
              <w:pStyle w:val="TableText"/>
              <w:ind w:left="4"/>
              <w:spacing w:before="80" w:line="182" w:lineRule="auto"/>
              <w:rPr>
                <w:sz w:val="22"/>
                <w:szCs w:val="22"/>
              </w:rPr>
            </w:pPr>
            <w:r>
              <w:rPr>
                <w:sz w:val="22"/>
                <w:szCs w:val="22"/>
              </w:rPr>
              <w:t>公司未准确披露</w:t>
            </w:r>
            <w:r>
              <w:rPr>
                <w:sz w:val="22"/>
                <w:szCs w:val="22"/>
                <w:b/>
                <w:bCs/>
              </w:rPr>
              <w:t>供应商采购金额及客户销售数据</w:t>
            </w:r>
            <w:r>
              <w:rPr>
                <w:sz w:val="22"/>
                <w:szCs w:val="22"/>
                <w:spacing w:val="-1"/>
              </w:rPr>
              <w:t>等信息。</w:t>
            </w:r>
          </w:p>
        </w:tc>
      </w:tr>
      <w:tr>
        <w:trPr>
          <w:trHeight w:val="381" w:hRule="atLeast"/>
        </w:trPr>
        <w:tc>
          <w:tcPr>
            <w:tcW w:w="1558" w:type="dxa"/>
            <w:vAlign w:val="top"/>
          </w:tcPr>
          <w:p>
            <w:pPr>
              <w:pStyle w:val="TableText"/>
              <w:ind w:left="396"/>
              <w:spacing w:before="98" w:line="173" w:lineRule="auto"/>
              <w:rPr>
                <w:sz w:val="22"/>
                <w:szCs w:val="22"/>
              </w:rPr>
            </w:pPr>
            <w:r>
              <w:rPr>
                <w:sz w:val="22"/>
                <w:szCs w:val="22"/>
                <w:spacing w:val="-2"/>
              </w:rPr>
              <w:t>600711</w:t>
            </w:r>
          </w:p>
        </w:tc>
        <w:tc>
          <w:tcPr>
            <w:tcW w:w="1485" w:type="dxa"/>
            <w:vAlign w:val="top"/>
          </w:tcPr>
          <w:p>
            <w:pPr>
              <w:pStyle w:val="TableText"/>
              <w:ind w:left="296"/>
              <w:spacing w:before="84" w:line="182" w:lineRule="auto"/>
              <w:rPr>
                <w:sz w:val="22"/>
                <w:szCs w:val="22"/>
              </w:rPr>
            </w:pPr>
            <w:r>
              <w:rPr>
                <w:sz w:val="22"/>
                <w:szCs w:val="22"/>
                <w:spacing w:val="-1"/>
              </w:rPr>
              <w:t>盛屯矿业</w:t>
            </w:r>
          </w:p>
        </w:tc>
        <w:tc>
          <w:tcPr>
            <w:tcW w:w="1618" w:type="dxa"/>
            <w:vAlign w:val="top"/>
          </w:tcPr>
          <w:p>
            <w:pPr>
              <w:pStyle w:val="TableText"/>
              <w:ind w:left="362"/>
              <w:spacing w:before="86" w:line="181" w:lineRule="auto"/>
              <w:rPr>
                <w:sz w:val="22"/>
                <w:szCs w:val="22"/>
              </w:rPr>
            </w:pPr>
            <w:r>
              <w:rPr>
                <w:sz w:val="22"/>
                <w:szCs w:val="22"/>
                <w:spacing w:val="-1"/>
              </w:rPr>
              <w:t>通报批评</w:t>
            </w:r>
          </w:p>
        </w:tc>
        <w:tc>
          <w:tcPr>
            <w:tcW w:w="6115" w:type="dxa"/>
            <w:vAlign w:val="top"/>
          </w:tcPr>
          <w:p>
            <w:pPr>
              <w:pStyle w:val="TableText"/>
              <w:ind w:left="4"/>
              <w:spacing w:before="83" w:line="183" w:lineRule="auto"/>
              <w:rPr>
                <w:sz w:val="22"/>
                <w:szCs w:val="22"/>
              </w:rPr>
            </w:pPr>
            <w:r>
              <w:rPr>
                <w:sz w:val="22"/>
                <w:szCs w:val="22"/>
                <w:spacing w:val="-3"/>
              </w:rPr>
              <w:t>公司</w:t>
            </w:r>
            <w:r>
              <w:rPr>
                <w:sz w:val="22"/>
                <w:szCs w:val="22"/>
                <w:b/>
                <w:bCs/>
                <w:spacing w:val="-3"/>
              </w:rPr>
              <w:t>定期报告披露的财务数据不准确</w:t>
            </w:r>
            <w:r>
              <w:rPr>
                <w:sz w:val="22"/>
                <w:szCs w:val="22"/>
                <w:spacing w:val="-3"/>
              </w:rPr>
              <w:t>， 涉及调整金额较大。</w:t>
            </w:r>
          </w:p>
        </w:tc>
      </w:tr>
      <w:tr>
        <w:trPr>
          <w:trHeight w:val="758" w:hRule="atLeast"/>
        </w:trPr>
        <w:tc>
          <w:tcPr>
            <w:shd w:val="clear" w:fill="F2DCDC"/>
            <w:tcW w:w="1558" w:type="dxa"/>
            <w:vAlign w:val="top"/>
          </w:tcPr>
          <w:p>
            <w:pPr>
              <w:pStyle w:val="TableText"/>
              <w:ind w:left="396"/>
              <w:spacing w:before="102" w:line="174" w:lineRule="auto"/>
              <w:rPr>
                <w:sz w:val="22"/>
                <w:szCs w:val="22"/>
              </w:rPr>
            </w:pPr>
            <w:r>
              <w:rPr>
                <w:sz w:val="22"/>
                <w:szCs w:val="22"/>
                <w:spacing w:val="-2"/>
              </w:rPr>
              <w:t>600706</w:t>
            </w:r>
          </w:p>
        </w:tc>
        <w:tc>
          <w:tcPr>
            <w:shd w:val="clear" w:fill="F2DCDC"/>
            <w:tcW w:w="1485" w:type="dxa"/>
            <w:vAlign w:val="top"/>
          </w:tcPr>
          <w:p>
            <w:pPr>
              <w:pStyle w:val="TableText"/>
              <w:ind w:left="310"/>
              <w:spacing w:before="88" w:line="183" w:lineRule="auto"/>
              <w:rPr>
                <w:sz w:val="22"/>
                <w:szCs w:val="22"/>
              </w:rPr>
            </w:pPr>
            <w:r>
              <w:rPr>
                <w:sz w:val="22"/>
                <w:szCs w:val="22"/>
                <w:spacing w:val="-5"/>
              </w:rPr>
              <w:t>曲江文旅</w:t>
            </w:r>
          </w:p>
        </w:tc>
        <w:tc>
          <w:tcPr>
            <w:shd w:val="clear" w:fill="F2DCDC"/>
            <w:tcW w:w="1618" w:type="dxa"/>
            <w:vAlign w:val="top"/>
          </w:tcPr>
          <w:p>
            <w:pPr>
              <w:pStyle w:val="TableText"/>
              <w:ind w:left="362"/>
              <w:spacing w:before="88" w:line="183" w:lineRule="auto"/>
              <w:rPr>
                <w:sz w:val="22"/>
                <w:szCs w:val="22"/>
              </w:rPr>
            </w:pPr>
            <w:r>
              <w:rPr>
                <w:sz w:val="22"/>
                <w:szCs w:val="22"/>
                <w:spacing w:val="-1"/>
              </w:rPr>
              <w:t>通报批评</w:t>
            </w:r>
          </w:p>
        </w:tc>
        <w:tc>
          <w:tcPr>
            <w:shd w:val="clear" w:fill="F2DCDC"/>
            <w:tcW w:w="6115" w:type="dxa"/>
            <w:vAlign w:val="top"/>
          </w:tcPr>
          <w:p>
            <w:pPr>
              <w:pStyle w:val="TableText"/>
              <w:ind w:left="2" w:right="156" w:firstLine="1"/>
              <w:spacing w:before="87" w:line="210" w:lineRule="auto"/>
              <w:rPr>
                <w:sz w:val="22"/>
                <w:szCs w:val="22"/>
              </w:rPr>
            </w:pPr>
            <w:r>
              <w:rPr>
                <w:sz w:val="22"/>
                <w:szCs w:val="22"/>
                <w:spacing w:val="-3"/>
              </w:rPr>
              <w:t>公司预告业绩与实际业绩相比发生</w:t>
            </w:r>
            <w:r>
              <w:rPr>
                <w:sz w:val="22"/>
                <w:szCs w:val="22"/>
                <w:b/>
                <w:bCs/>
                <w:spacing w:val="-3"/>
              </w:rPr>
              <w:t>盈亏方向的变化</w:t>
            </w:r>
            <w:r>
              <w:rPr>
                <w:sz w:val="22"/>
                <w:szCs w:val="22"/>
                <w:spacing w:val="-3"/>
              </w:rPr>
              <w:t>， 影响投资</w:t>
            </w:r>
            <w:r>
              <w:rPr>
                <w:sz w:val="22"/>
                <w:szCs w:val="22"/>
                <w:spacing w:val="17"/>
                <w:w w:val="101"/>
              </w:rPr>
              <w:t xml:space="preserve"> </w:t>
            </w:r>
            <w:r>
              <w:rPr>
                <w:sz w:val="22"/>
                <w:szCs w:val="22"/>
                <w:spacing w:val="-4"/>
              </w:rPr>
              <w:t>者的合理预期， </w:t>
            </w:r>
            <w:r>
              <w:rPr>
                <w:sz w:val="22"/>
                <w:szCs w:val="22"/>
                <w:b/>
                <w:bCs/>
                <w:spacing w:val="-4"/>
              </w:rPr>
              <w:t>更正公告</w:t>
            </w:r>
            <w:r>
              <w:rPr>
                <w:sz w:val="22"/>
                <w:szCs w:val="22"/>
                <w:spacing w:val="-4"/>
              </w:rPr>
              <w:t>披露不及时。</w:t>
            </w:r>
          </w:p>
        </w:tc>
      </w:tr>
      <w:tr>
        <w:trPr>
          <w:trHeight w:val="2263" w:hRule="atLeast"/>
        </w:trPr>
        <w:tc>
          <w:tcPr>
            <w:tcW w:w="1558" w:type="dxa"/>
            <w:vAlign w:val="top"/>
          </w:tcPr>
          <w:p>
            <w:pPr>
              <w:pStyle w:val="TableText"/>
              <w:ind w:left="396"/>
              <w:spacing w:before="102" w:line="174" w:lineRule="auto"/>
              <w:rPr>
                <w:sz w:val="22"/>
                <w:szCs w:val="22"/>
              </w:rPr>
            </w:pPr>
            <w:r>
              <w:rPr>
                <w:sz w:val="22"/>
                <w:szCs w:val="22"/>
                <w:spacing w:val="-2"/>
              </w:rPr>
              <w:t>600387</w:t>
            </w:r>
          </w:p>
        </w:tc>
        <w:tc>
          <w:tcPr>
            <w:tcW w:w="1485" w:type="dxa"/>
            <w:vAlign w:val="top"/>
          </w:tcPr>
          <w:p>
            <w:pPr>
              <w:pStyle w:val="TableText"/>
              <w:ind w:left="343"/>
              <w:spacing w:before="87" w:line="183" w:lineRule="auto"/>
              <w:rPr>
                <w:sz w:val="22"/>
                <w:szCs w:val="22"/>
              </w:rPr>
            </w:pPr>
            <w:r>
              <w:rPr>
                <w:sz w:val="22"/>
                <w:szCs w:val="22"/>
                <w:spacing w:val="-2"/>
              </w:rPr>
              <w:t>*ST海越</w:t>
            </w:r>
          </w:p>
        </w:tc>
        <w:tc>
          <w:tcPr>
            <w:tcW w:w="1618" w:type="dxa"/>
            <w:vAlign w:val="top"/>
          </w:tcPr>
          <w:p>
            <w:pPr>
              <w:pStyle w:val="TableText"/>
              <w:ind w:left="362"/>
              <w:spacing w:before="89" w:line="182" w:lineRule="auto"/>
              <w:rPr>
                <w:sz w:val="22"/>
                <w:szCs w:val="22"/>
              </w:rPr>
            </w:pPr>
            <w:r>
              <w:rPr>
                <w:sz w:val="22"/>
                <w:szCs w:val="22"/>
                <w:spacing w:val="-1"/>
              </w:rPr>
              <w:t>公开谴责</w:t>
            </w:r>
          </w:p>
        </w:tc>
        <w:tc>
          <w:tcPr>
            <w:tcW w:w="6115" w:type="dxa"/>
            <w:vAlign w:val="top"/>
          </w:tcPr>
          <w:p>
            <w:pPr>
              <w:pStyle w:val="TableText"/>
              <w:ind w:left="4" w:right="7" w:firstLine="2"/>
              <w:spacing w:before="82" w:line="230" w:lineRule="auto"/>
              <w:rPr>
                <w:sz w:val="22"/>
                <w:szCs w:val="22"/>
              </w:rPr>
            </w:pPr>
            <w:r>
              <w:rPr>
                <w:sz w:val="22"/>
                <w:szCs w:val="22"/>
              </w:rPr>
              <w:t>前期因公司2021年度、2022年度存在控股股东</w:t>
            </w:r>
            <w:r>
              <w:rPr>
                <w:sz w:val="22"/>
                <w:szCs w:val="22"/>
                <w:spacing w:val="-1"/>
              </w:rPr>
              <w:t>及其关联方资金</w:t>
            </w:r>
            <w:r>
              <w:rPr>
                <w:sz w:val="22"/>
                <w:szCs w:val="22"/>
              </w:rPr>
              <w:t xml:space="preserve"> </w:t>
            </w:r>
            <w:r>
              <w:rPr>
                <w:sz w:val="22"/>
                <w:szCs w:val="22"/>
                <w:spacing w:val="-2"/>
              </w:rPr>
              <w:t>占用事项， 上海证券交易所已于2024年2</w:t>
            </w:r>
            <w:r>
              <w:rPr>
                <w:sz w:val="22"/>
                <w:szCs w:val="22"/>
                <w:spacing w:val="-3"/>
              </w:rPr>
              <w:t>月对公司、控股股东</w:t>
            </w:r>
            <w:r>
              <w:rPr>
                <w:sz w:val="22"/>
                <w:szCs w:val="22"/>
              </w:rPr>
              <w:t xml:space="preserve">   </w:t>
            </w:r>
            <w:r>
              <w:rPr>
                <w:sz w:val="22"/>
                <w:szCs w:val="22"/>
                <w:spacing w:val="-3"/>
              </w:rPr>
              <w:t>及有关责任人作出纪律处分决定， 但公司、控股股东及有关责</w:t>
            </w:r>
            <w:r>
              <w:rPr>
                <w:sz w:val="22"/>
                <w:szCs w:val="22"/>
                <w:spacing w:val="5"/>
              </w:rPr>
              <w:t xml:space="preserve">   </w:t>
            </w:r>
            <w:r>
              <w:rPr>
                <w:sz w:val="22"/>
                <w:szCs w:val="22"/>
                <w:spacing w:val="-2"/>
              </w:rPr>
              <w:t>任人未积极采取整改措施， 2023年度</w:t>
            </w:r>
            <w:r>
              <w:rPr>
                <w:sz w:val="22"/>
                <w:szCs w:val="22"/>
                <w:b/>
                <w:bCs/>
                <w:spacing w:val="-2"/>
              </w:rPr>
              <w:t>再次出</w:t>
            </w:r>
            <w:r>
              <w:rPr>
                <w:sz w:val="22"/>
                <w:szCs w:val="22"/>
                <w:b/>
                <w:bCs/>
                <w:spacing w:val="-3"/>
              </w:rPr>
              <w:t>现控股股东非经营</w:t>
            </w:r>
            <w:r>
              <w:rPr>
                <w:sz w:val="22"/>
                <w:szCs w:val="22"/>
                <w:b/>
                <w:bCs/>
              </w:rPr>
              <w:t xml:space="preserve">  </w:t>
            </w:r>
            <w:r>
              <w:rPr>
                <w:sz w:val="22"/>
                <w:szCs w:val="22"/>
                <w:b/>
                <w:bCs/>
                <w:spacing w:val="-4"/>
              </w:rPr>
              <w:t>性资金占用</w:t>
            </w:r>
            <w:r>
              <w:rPr>
                <w:sz w:val="22"/>
                <w:szCs w:val="22"/>
                <w:spacing w:val="-4"/>
              </w:rPr>
              <w:t>事项， 新增资金占用发生额达1.</w:t>
            </w:r>
            <w:r>
              <w:rPr>
                <w:sz w:val="22"/>
                <w:szCs w:val="22"/>
                <w:spacing w:val="-5"/>
              </w:rPr>
              <w:t>21亿元， 严重侵害</w:t>
            </w:r>
            <w:r>
              <w:rPr>
                <w:sz w:val="22"/>
                <w:szCs w:val="22"/>
              </w:rPr>
              <w:t xml:space="preserve">   </w:t>
            </w:r>
            <w:r>
              <w:rPr>
                <w:sz w:val="22"/>
                <w:szCs w:val="22"/>
                <w:spacing w:val="-4"/>
              </w:rPr>
              <w:t>上市公司和中小投资者利益， 情节严重。</w:t>
            </w:r>
          </w:p>
        </w:tc>
      </w:tr>
      <w:tr>
        <w:trPr>
          <w:trHeight w:val="381" w:hRule="atLeast"/>
        </w:trPr>
        <w:tc>
          <w:tcPr>
            <w:shd w:val="clear" w:fill="F2DCDC"/>
            <w:tcW w:w="1558" w:type="dxa"/>
            <w:vAlign w:val="top"/>
          </w:tcPr>
          <w:p>
            <w:pPr>
              <w:pStyle w:val="TableText"/>
              <w:ind w:left="396"/>
              <w:spacing w:before="108" w:line="167" w:lineRule="auto"/>
              <w:rPr>
                <w:sz w:val="22"/>
                <w:szCs w:val="22"/>
              </w:rPr>
            </w:pPr>
            <w:r>
              <w:rPr>
                <w:sz w:val="22"/>
                <w:szCs w:val="22"/>
                <w:spacing w:val="-2"/>
              </w:rPr>
              <w:t>688685</w:t>
            </w:r>
          </w:p>
        </w:tc>
        <w:tc>
          <w:tcPr>
            <w:shd w:val="clear" w:fill="F2DCDC"/>
            <w:tcW w:w="1485" w:type="dxa"/>
            <w:vAlign w:val="top"/>
          </w:tcPr>
          <w:p>
            <w:pPr>
              <w:pStyle w:val="TableText"/>
              <w:ind w:left="402"/>
              <w:spacing w:before="94" w:line="176" w:lineRule="auto"/>
              <w:rPr>
                <w:sz w:val="22"/>
                <w:szCs w:val="22"/>
              </w:rPr>
            </w:pPr>
            <w:r>
              <w:rPr>
                <w:sz w:val="22"/>
                <w:szCs w:val="22"/>
                <w:spacing w:val="-1"/>
              </w:rPr>
              <w:t>迈信林</w:t>
            </w:r>
          </w:p>
        </w:tc>
        <w:tc>
          <w:tcPr>
            <w:shd w:val="clear" w:fill="F2DCDC"/>
            <w:tcW w:w="1618" w:type="dxa"/>
            <w:vAlign w:val="top"/>
          </w:tcPr>
          <w:p>
            <w:pPr>
              <w:pStyle w:val="TableText"/>
              <w:ind w:left="364"/>
              <w:spacing w:before="94" w:line="176" w:lineRule="auto"/>
              <w:rPr>
                <w:sz w:val="22"/>
                <w:szCs w:val="22"/>
              </w:rPr>
            </w:pPr>
            <w:r>
              <w:rPr>
                <w:sz w:val="22"/>
                <w:szCs w:val="22"/>
                <w:spacing w:val="-1"/>
              </w:rPr>
              <w:t>监管警示</w:t>
            </w:r>
          </w:p>
        </w:tc>
        <w:tc>
          <w:tcPr>
            <w:shd w:val="clear" w:fill="F2DCDC"/>
            <w:tcW w:w="6115" w:type="dxa"/>
            <w:vAlign w:val="top"/>
          </w:tcPr>
          <w:p>
            <w:pPr>
              <w:pStyle w:val="TableText"/>
              <w:ind w:left="13"/>
              <w:spacing w:before="94" w:line="176" w:lineRule="auto"/>
              <w:rPr>
                <w:sz w:val="22"/>
                <w:szCs w:val="22"/>
              </w:rPr>
            </w:pPr>
            <w:r>
              <w:rPr>
                <w:sz w:val="22"/>
                <w:szCs w:val="22"/>
                <w:spacing w:val="-1"/>
              </w:rPr>
              <w:t>时任独董配偶</w:t>
            </w:r>
            <w:r>
              <w:rPr>
                <w:sz w:val="22"/>
                <w:szCs w:val="22"/>
                <w:b/>
                <w:bCs/>
                <w:spacing w:val="-1"/>
              </w:rPr>
              <w:t>短线交易。</w:t>
            </w:r>
          </w:p>
        </w:tc>
      </w:tr>
      <w:tr>
        <w:trPr>
          <w:trHeight w:val="765" w:hRule="atLeast"/>
        </w:trPr>
        <w:tc>
          <w:tcPr>
            <w:tcW w:w="1558" w:type="dxa"/>
            <w:vAlign w:val="top"/>
          </w:tcPr>
          <w:p>
            <w:pPr>
              <w:pStyle w:val="TableText"/>
              <w:ind w:left="396"/>
              <w:spacing w:before="111" w:line="174" w:lineRule="auto"/>
              <w:rPr>
                <w:sz w:val="22"/>
                <w:szCs w:val="22"/>
              </w:rPr>
            </w:pPr>
            <w:r>
              <w:rPr>
                <w:sz w:val="22"/>
                <w:szCs w:val="22"/>
                <w:spacing w:val="-2"/>
              </w:rPr>
              <w:t>688597</w:t>
            </w:r>
          </w:p>
        </w:tc>
        <w:tc>
          <w:tcPr>
            <w:tcW w:w="1485" w:type="dxa"/>
            <w:vAlign w:val="top"/>
          </w:tcPr>
          <w:p>
            <w:pPr>
              <w:pStyle w:val="TableText"/>
              <w:ind w:left="294"/>
              <w:spacing w:before="97" w:line="183" w:lineRule="auto"/>
              <w:rPr>
                <w:sz w:val="22"/>
                <w:szCs w:val="22"/>
              </w:rPr>
            </w:pPr>
            <w:r>
              <w:rPr>
                <w:sz w:val="22"/>
                <w:szCs w:val="22"/>
                <w:spacing w:val="-1"/>
              </w:rPr>
              <w:t>煜邦电力</w:t>
            </w:r>
          </w:p>
        </w:tc>
        <w:tc>
          <w:tcPr>
            <w:tcW w:w="1618" w:type="dxa"/>
            <w:vAlign w:val="top"/>
          </w:tcPr>
          <w:p>
            <w:pPr>
              <w:pStyle w:val="TableText"/>
              <w:ind w:left="364"/>
              <w:spacing w:before="95" w:line="184" w:lineRule="auto"/>
              <w:rPr>
                <w:sz w:val="22"/>
                <w:szCs w:val="22"/>
              </w:rPr>
            </w:pPr>
            <w:r>
              <w:rPr>
                <w:sz w:val="22"/>
                <w:szCs w:val="22"/>
                <w:spacing w:val="-1"/>
              </w:rPr>
              <w:t>监管警示</w:t>
            </w:r>
          </w:p>
        </w:tc>
        <w:tc>
          <w:tcPr>
            <w:tcW w:w="6115" w:type="dxa"/>
            <w:vAlign w:val="top"/>
          </w:tcPr>
          <w:p>
            <w:pPr>
              <w:pStyle w:val="TableText"/>
              <w:ind w:left="3" w:right="36" w:firstLine="2"/>
              <w:spacing w:before="50" w:line="224" w:lineRule="auto"/>
              <w:rPr>
                <w:sz w:val="22"/>
                <w:szCs w:val="22"/>
              </w:rPr>
            </w:pPr>
            <w:r>
              <w:rPr>
                <w:sz w:val="22"/>
                <w:szCs w:val="22"/>
                <w:spacing w:val="-3"/>
              </w:rPr>
              <w:t>冀北招标在</w:t>
            </w:r>
            <w:r>
              <w:rPr>
                <w:sz w:val="22"/>
                <w:szCs w:val="22"/>
                <w:b/>
                <w:bCs/>
                <w:spacing w:val="-3"/>
              </w:rPr>
              <w:t>持有公司股份比例达到5%</w:t>
            </w:r>
            <w:r>
              <w:rPr>
                <w:sz w:val="22"/>
                <w:szCs w:val="22"/>
                <w:spacing w:val="-3"/>
              </w:rPr>
              <w:t>后， 未按规定及时履行信</w:t>
            </w:r>
            <w:r>
              <w:rPr>
                <w:sz w:val="22"/>
                <w:szCs w:val="22"/>
                <w:spacing w:val="18"/>
              </w:rPr>
              <w:t xml:space="preserve"> </w:t>
            </w:r>
            <w:r>
              <w:rPr>
                <w:sz w:val="22"/>
                <w:szCs w:val="22"/>
                <w:spacing w:val="-1"/>
              </w:rPr>
              <w:t>息披露义务。</w:t>
            </w:r>
          </w:p>
        </w:tc>
      </w:tr>
    </w:tbl>
    <w:p>
      <w:pPr>
        <w:pStyle w:val="BodyText"/>
        <w:rPr/>
      </w:pPr>
      <w:r/>
    </w:p>
    <w:p>
      <w:pPr>
        <w:sectPr>
          <w:pgSz w:w="11910" w:h="16840"/>
          <w:pgMar w:top="400" w:right="559" w:bottom="0" w:left="0" w:header="0" w:footer="0" w:gutter="0"/>
        </w:sectPr>
        <w:rPr/>
      </w:pPr>
    </w:p>
    <w:tbl>
      <w:tblPr>
        <w:tblStyle w:val="TableNormal"/>
        <w:tblW w:w="10776" w:type="dxa"/>
        <w:tblInd w:w="124"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558"/>
        <w:gridCol w:w="1485"/>
        <w:gridCol w:w="1618"/>
        <w:gridCol w:w="6115"/>
      </w:tblGrid>
      <w:tr>
        <w:trPr>
          <w:trHeight w:val="628" w:hRule="atLeast"/>
        </w:trPr>
        <w:tc>
          <w:tcPr>
            <w:shd w:val="clear" w:fill="F2DCDC"/>
            <w:tcW w:w="1558" w:type="dxa"/>
            <w:vAlign w:val="top"/>
            <w:tcBorders>
              <w:top w:val="single" w:color="FFFFFF" w:sz="2" w:space="0"/>
            </w:tcBorders>
          </w:tcPr>
          <w:p>
            <w:pPr>
              <w:pStyle w:val="TableText"/>
              <w:ind w:left="396"/>
              <w:spacing w:before="117" w:line="175" w:lineRule="auto"/>
              <w:rPr>
                <w:sz w:val="22"/>
                <w:szCs w:val="22"/>
              </w:rPr>
            </w:pPr>
            <w:r>
              <w:rPr>
                <w:sz w:val="22"/>
                <w:szCs w:val="22"/>
                <w:spacing w:val="-2"/>
              </w:rPr>
              <w:t>600179</w:t>
            </w:r>
          </w:p>
        </w:tc>
        <w:tc>
          <w:tcPr>
            <w:shd w:val="clear" w:fill="F2DCDC"/>
            <w:tcW w:w="1485" w:type="dxa"/>
            <w:vAlign w:val="top"/>
            <w:tcBorders>
              <w:top w:val="single" w:color="FFFFFF" w:sz="2" w:space="0"/>
            </w:tcBorders>
          </w:tcPr>
          <w:p>
            <w:pPr>
              <w:pStyle w:val="TableText"/>
              <w:ind w:left="295"/>
              <w:spacing w:before="103" w:line="184" w:lineRule="auto"/>
              <w:rPr>
                <w:sz w:val="22"/>
                <w:szCs w:val="22"/>
              </w:rPr>
            </w:pPr>
            <w:r>
              <w:rPr>
                <w:sz w:val="22"/>
                <w:szCs w:val="22"/>
                <w:spacing w:val="-1"/>
              </w:rPr>
              <w:t>安通控股</w:t>
            </w:r>
          </w:p>
        </w:tc>
        <w:tc>
          <w:tcPr>
            <w:shd w:val="clear" w:fill="F2DCDC"/>
            <w:tcW w:w="1618" w:type="dxa"/>
            <w:vAlign w:val="top"/>
            <w:tcBorders>
              <w:top w:val="single" w:color="FFFFFF" w:sz="2" w:space="0"/>
            </w:tcBorders>
          </w:tcPr>
          <w:p>
            <w:pPr>
              <w:pStyle w:val="TableText"/>
              <w:ind w:left="364"/>
              <w:spacing w:before="103" w:line="184" w:lineRule="auto"/>
              <w:rPr>
                <w:sz w:val="22"/>
                <w:szCs w:val="22"/>
              </w:rPr>
            </w:pPr>
            <w:r>
              <w:rPr>
                <w:sz w:val="22"/>
                <w:szCs w:val="22"/>
                <w:spacing w:val="-1"/>
              </w:rPr>
              <w:t>监管警示</w:t>
            </w:r>
          </w:p>
        </w:tc>
        <w:tc>
          <w:tcPr>
            <w:shd w:val="clear" w:fill="F2DCDC"/>
            <w:tcW w:w="6115" w:type="dxa"/>
            <w:vAlign w:val="top"/>
            <w:tcBorders>
              <w:top w:val="single" w:color="FFFFFF" w:sz="2" w:space="0"/>
            </w:tcBorders>
          </w:tcPr>
          <w:p>
            <w:pPr>
              <w:pStyle w:val="TableText"/>
              <w:ind w:left="4"/>
              <w:spacing w:before="103" w:line="184" w:lineRule="auto"/>
              <w:rPr>
                <w:sz w:val="22"/>
                <w:szCs w:val="22"/>
              </w:rPr>
            </w:pPr>
            <w:r>
              <w:rPr>
                <w:sz w:val="22"/>
                <w:szCs w:val="22"/>
              </w:rPr>
              <w:t>公司</w:t>
            </w:r>
            <w:r>
              <w:rPr>
                <w:sz w:val="22"/>
                <w:szCs w:val="22"/>
                <w:b/>
                <w:bCs/>
              </w:rPr>
              <w:t>日常关联交易</w:t>
            </w:r>
            <w:r>
              <w:rPr>
                <w:sz w:val="22"/>
                <w:szCs w:val="22"/>
              </w:rPr>
              <w:t>未及时履行决策程序和披露</w:t>
            </w:r>
            <w:r>
              <w:rPr>
                <w:sz w:val="22"/>
                <w:szCs w:val="22"/>
                <w:spacing w:val="-1"/>
              </w:rPr>
              <w:t>义务。</w:t>
            </w:r>
          </w:p>
        </w:tc>
      </w:tr>
      <w:tr>
        <w:trPr>
          <w:trHeight w:val="757" w:hRule="atLeast"/>
        </w:trPr>
        <w:tc>
          <w:tcPr>
            <w:tcW w:w="1558" w:type="dxa"/>
            <w:vAlign w:val="top"/>
          </w:tcPr>
          <w:p>
            <w:pPr>
              <w:pStyle w:val="TableText"/>
              <w:ind w:left="396"/>
              <w:spacing w:before="100" w:line="174" w:lineRule="auto"/>
              <w:rPr>
                <w:sz w:val="22"/>
                <w:szCs w:val="22"/>
              </w:rPr>
            </w:pPr>
            <w:r>
              <w:rPr>
                <w:sz w:val="22"/>
                <w:szCs w:val="22"/>
                <w:spacing w:val="-2"/>
              </w:rPr>
              <w:t>600462</w:t>
            </w:r>
          </w:p>
        </w:tc>
        <w:tc>
          <w:tcPr>
            <w:tcW w:w="1485" w:type="dxa"/>
            <w:vAlign w:val="top"/>
          </w:tcPr>
          <w:p>
            <w:pPr>
              <w:pStyle w:val="TableText"/>
              <w:ind w:left="343"/>
              <w:spacing w:before="84" w:line="184" w:lineRule="auto"/>
              <w:rPr>
                <w:sz w:val="22"/>
                <w:szCs w:val="22"/>
              </w:rPr>
            </w:pPr>
            <w:r>
              <w:rPr>
                <w:sz w:val="22"/>
                <w:szCs w:val="22"/>
                <w:spacing w:val="-2"/>
              </w:rPr>
              <w:t>*ST九有</w:t>
            </w:r>
          </w:p>
        </w:tc>
        <w:tc>
          <w:tcPr>
            <w:tcW w:w="1618" w:type="dxa"/>
            <w:vAlign w:val="top"/>
          </w:tcPr>
          <w:p>
            <w:pPr>
              <w:pStyle w:val="TableText"/>
              <w:ind w:left="362"/>
              <w:spacing w:before="86" w:line="183" w:lineRule="auto"/>
              <w:rPr>
                <w:sz w:val="22"/>
                <w:szCs w:val="22"/>
              </w:rPr>
            </w:pPr>
            <w:r>
              <w:rPr>
                <w:sz w:val="22"/>
                <w:szCs w:val="22"/>
                <w:spacing w:val="-1"/>
              </w:rPr>
              <w:t>通报批评</w:t>
            </w:r>
          </w:p>
        </w:tc>
        <w:tc>
          <w:tcPr>
            <w:tcW w:w="6115" w:type="dxa"/>
            <w:vAlign w:val="top"/>
          </w:tcPr>
          <w:p>
            <w:pPr>
              <w:pStyle w:val="TableText"/>
              <w:ind w:left="4" w:right="158"/>
              <w:spacing w:before="83" w:line="211" w:lineRule="auto"/>
              <w:rPr>
                <w:sz w:val="22"/>
                <w:szCs w:val="22"/>
              </w:rPr>
            </w:pPr>
            <w:r>
              <w:rPr>
                <w:sz w:val="22"/>
                <w:szCs w:val="22"/>
                <w:spacing w:val="-3"/>
              </w:rPr>
              <w:t>公司时任董事长</w:t>
            </w:r>
            <w:r>
              <w:rPr>
                <w:sz w:val="22"/>
                <w:szCs w:val="22"/>
                <w:b/>
                <w:bCs/>
                <w:spacing w:val="-3"/>
              </w:rPr>
              <w:t>未按计划实施增持行为</w:t>
            </w:r>
            <w:r>
              <w:rPr>
                <w:sz w:val="22"/>
                <w:szCs w:val="22"/>
                <w:spacing w:val="-3"/>
              </w:rPr>
              <w:t>， 与其前期披露的增持</w:t>
            </w:r>
            <w:r>
              <w:rPr>
                <w:sz w:val="22"/>
                <w:szCs w:val="22"/>
                <w:spacing w:val="15"/>
              </w:rPr>
              <w:t xml:space="preserve"> </w:t>
            </w:r>
            <w:r>
              <w:rPr>
                <w:sz w:val="22"/>
                <w:szCs w:val="22"/>
                <w:spacing w:val="-1"/>
              </w:rPr>
              <w:t>计划不一致。</w:t>
            </w:r>
          </w:p>
        </w:tc>
      </w:tr>
      <w:tr>
        <w:trPr>
          <w:trHeight w:val="756" w:hRule="atLeast"/>
        </w:trPr>
        <w:tc>
          <w:tcPr>
            <w:shd w:val="clear" w:fill="F2DCDC"/>
            <w:tcW w:w="1558" w:type="dxa"/>
            <w:vAlign w:val="top"/>
          </w:tcPr>
          <w:p>
            <w:pPr>
              <w:pStyle w:val="TableText"/>
              <w:ind w:left="396"/>
              <w:spacing w:before="101" w:line="174" w:lineRule="auto"/>
              <w:rPr>
                <w:sz w:val="22"/>
                <w:szCs w:val="22"/>
              </w:rPr>
            </w:pPr>
            <w:r>
              <w:rPr>
                <w:sz w:val="22"/>
                <w:szCs w:val="22"/>
                <w:spacing w:val="-2"/>
              </w:rPr>
              <w:t>600766</w:t>
            </w:r>
          </w:p>
        </w:tc>
        <w:tc>
          <w:tcPr>
            <w:shd w:val="clear" w:fill="F2DCDC"/>
            <w:tcW w:w="1485" w:type="dxa"/>
            <w:vAlign w:val="top"/>
          </w:tcPr>
          <w:p>
            <w:pPr>
              <w:pStyle w:val="TableText"/>
              <w:ind w:left="294"/>
              <w:spacing w:before="85" w:line="184" w:lineRule="auto"/>
              <w:rPr>
                <w:sz w:val="22"/>
                <w:szCs w:val="22"/>
              </w:rPr>
            </w:pPr>
            <w:r>
              <w:rPr>
                <w:sz w:val="22"/>
                <w:szCs w:val="22"/>
                <w:spacing w:val="-1"/>
              </w:rPr>
              <w:t>退市园城</w:t>
            </w:r>
          </w:p>
        </w:tc>
        <w:tc>
          <w:tcPr>
            <w:shd w:val="clear" w:fill="F2DCDC"/>
            <w:tcW w:w="1618" w:type="dxa"/>
            <w:vAlign w:val="top"/>
          </w:tcPr>
          <w:p>
            <w:pPr>
              <w:pStyle w:val="TableText"/>
              <w:ind w:left="362"/>
              <w:spacing w:before="88" w:line="182" w:lineRule="auto"/>
              <w:rPr>
                <w:sz w:val="22"/>
                <w:szCs w:val="22"/>
              </w:rPr>
            </w:pPr>
            <w:r>
              <w:rPr>
                <w:sz w:val="22"/>
                <w:szCs w:val="22"/>
                <w:spacing w:val="-1"/>
              </w:rPr>
              <w:t>公开谴责</w:t>
            </w:r>
          </w:p>
        </w:tc>
        <w:tc>
          <w:tcPr>
            <w:shd w:val="clear" w:fill="F2DCDC"/>
            <w:tcW w:w="6115" w:type="dxa"/>
            <w:vAlign w:val="top"/>
          </w:tcPr>
          <w:p>
            <w:pPr>
              <w:pStyle w:val="TableText"/>
              <w:ind w:left="6" w:right="4" w:hanging="2"/>
              <w:spacing w:before="85" w:line="210" w:lineRule="auto"/>
              <w:rPr>
                <w:sz w:val="22"/>
                <w:szCs w:val="22"/>
              </w:rPr>
            </w:pPr>
            <w:r>
              <w:rPr>
                <w:sz w:val="22"/>
                <w:szCs w:val="22"/>
                <w:spacing w:val="-2"/>
              </w:rPr>
              <w:t>公司2023年年度</w:t>
            </w:r>
            <w:r>
              <w:rPr>
                <w:sz w:val="22"/>
                <w:szCs w:val="22"/>
                <w:b/>
                <w:bCs/>
                <w:spacing w:val="-2"/>
              </w:rPr>
              <w:t>业绩预告</w:t>
            </w:r>
            <w:r>
              <w:rPr>
                <w:sz w:val="22"/>
                <w:szCs w:val="22"/>
                <w:spacing w:val="-2"/>
              </w:rPr>
              <w:t>披露不准确； 公司2023年</w:t>
            </w:r>
            <w:r>
              <w:rPr>
                <w:sz w:val="22"/>
                <w:szCs w:val="22"/>
                <w:b/>
                <w:bCs/>
                <w:spacing w:val="-2"/>
              </w:rPr>
              <w:t>第</w:t>
            </w:r>
            <w:r>
              <w:rPr>
                <w:sz w:val="22"/>
                <w:szCs w:val="22"/>
                <w:b/>
                <w:bCs/>
                <w:spacing w:val="-3"/>
              </w:rPr>
              <w:t>三季度报</w:t>
            </w:r>
            <w:r>
              <w:rPr>
                <w:sz w:val="22"/>
                <w:szCs w:val="22"/>
                <w:b/>
                <w:bCs/>
              </w:rPr>
              <w:t xml:space="preserve"> </w:t>
            </w:r>
            <w:r>
              <w:rPr>
                <w:sz w:val="22"/>
                <w:szCs w:val="22"/>
                <w:b/>
                <w:bCs/>
                <w:spacing w:val="-3"/>
              </w:rPr>
              <w:t>告</w:t>
            </w:r>
            <w:r>
              <w:rPr>
                <w:sz w:val="22"/>
                <w:szCs w:val="22"/>
                <w:spacing w:val="-3"/>
              </w:rPr>
              <w:t>财务数据披露不准确； 公司未及时披露</w:t>
            </w:r>
            <w:r>
              <w:rPr>
                <w:sz w:val="22"/>
                <w:szCs w:val="22"/>
                <w:b/>
                <w:bCs/>
                <w:spacing w:val="-3"/>
              </w:rPr>
              <w:t>重大事项。</w:t>
            </w:r>
          </w:p>
        </w:tc>
      </w:tr>
      <w:tr>
        <w:trPr>
          <w:trHeight w:val="757" w:hRule="atLeast"/>
        </w:trPr>
        <w:tc>
          <w:tcPr>
            <w:tcW w:w="1558" w:type="dxa"/>
            <w:vAlign w:val="top"/>
          </w:tcPr>
          <w:p>
            <w:pPr>
              <w:pStyle w:val="TableText"/>
              <w:ind w:left="396"/>
              <w:spacing w:before="103" w:line="175" w:lineRule="auto"/>
              <w:rPr>
                <w:sz w:val="22"/>
                <w:szCs w:val="22"/>
              </w:rPr>
            </w:pPr>
            <w:r>
              <w:rPr>
                <w:sz w:val="22"/>
                <w:szCs w:val="22"/>
                <w:spacing w:val="-2"/>
              </w:rPr>
              <w:t>603133</w:t>
            </w:r>
          </w:p>
        </w:tc>
        <w:tc>
          <w:tcPr>
            <w:tcW w:w="1485" w:type="dxa"/>
            <w:vAlign w:val="top"/>
          </w:tcPr>
          <w:p>
            <w:pPr>
              <w:pStyle w:val="TableText"/>
              <w:ind w:left="294"/>
              <w:spacing w:before="89" w:line="184" w:lineRule="auto"/>
              <w:rPr>
                <w:sz w:val="22"/>
                <w:szCs w:val="22"/>
              </w:rPr>
            </w:pPr>
            <w:r>
              <w:rPr>
                <w:sz w:val="22"/>
                <w:szCs w:val="22"/>
                <w:spacing w:val="-1"/>
              </w:rPr>
              <w:t>退市碳元</w:t>
            </w:r>
          </w:p>
        </w:tc>
        <w:tc>
          <w:tcPr>
            <w:tcW w:w="1618" w:type="dxa"/>
            <w:vAlign w:val="top"/>
          </w:tcPr>
          <w:p>
            <w:pPr>
              <w:pStyle w:val="TableText"/>
              <w:ind w:left="362"/>
              <w:spacing w:before="91" w:line="183" w:lineRule="auto"/>
              <w:rPr>
                <w:sz w:val="22"/>
                <w:szCs w:val="22"/>
              </w:rPr>
            </w:pPr>
            <w:r>
              <w:rPr>
                <w:sz w:val="22"/>
                <w:szCs w:val="22"/>
                <w:spacing w:val="-1"/>
              </w:rPr>
              <w:t>通报批评</w:t>
            </w:r>
          </w:p>
        </w:tc>
        <w:tc>
          <w:tcPr>
            <w:tcW w:w="6115" w:type="dxa"/>
            <w:vAlign w:val="top"/>
          </w:tcPr>
          <w:p>
            <w:pPr>
              <w:pStyle w:val="TableText"/>
              <w:ind w:left="4" w:right="28"/>
              <w:spacing w:before="89" w:line="209" w:lineRule="auto"/>
              <w:rPr>
                <w:sz w:val="22"/>
                <w:szCs w:val="22"/>
              </w:rPr>
            </w:pPr>
            <w:r>
              <w:rPr>
                <w:sz w:val="22"/>
                <w:szCs w:val="22"/>
              </w:rPr>
              <w:t>公司</w:t>
            </w:r>
            <w:r>
              <w:rPr>
                <w:sz w:val="22"/>
                <w:szCs w:val="22"/>
                <w:b/>
                <w:bCs/>
              </w:rPr>
              <w:t>业绩预告</w:t>
            </w:r>
            <w:r>
              <w:rPr>
                <w:sz w:val="22"/>
                <w:szCs w:val="22"/>
              </w:rPr>
              <w:t>中关于扣除后的营业收入是否低于1亿元的</w:t>
            </w:r>
            <w:r>
              <w:rPr>
                <w:sz w:val="22"/>
                <w:szCs w:val="22"/>
                <w:spacing w:val="-1"/>
              </w:rPr>
              <w:t>情况披</w:t>
            </w:r>
            <w:r>
              <w:rPr>
                <w:sz w:val="22"/>
                <w:szCs w:val="22"/>
              </w:rPr>
              <w:t xml:space="preserve"> </w:t>
            </w:r>
            <w:r>
              <w:rPr>
                <w:sz w:val="22"/>
                <w:szCs w:val="22"/>
                <w:spacing w:val="-4"/>
              </w:rPr>
              <w:t>露不准确， 且未及时披露业绩预告</w:t>
            </w:r>
            <w:r>
              <w:rPr>
                <w:sz w:val="22"/>
                <w:szCs w:val="22"/>
                <w:b/>
                <w:bCs/>
                <w:spacing w:val="-4"/>
              </w:rPr>
              <w:t>更正公告。</w:t>
            </w:r>
          </w:p>
        </w:tc>
      </w:tr>
      <w:tr>
        <w:trPr>
          <w:trHeight w:val="757" w:hRule="atLeast"/>
        </w:trPr>
        <w:tc>
          <w:tcPr>
            <w:shd w:val="clear" w:fill="F2DCDC"/>
            <w:tcW w:w="1558" w:type="dxa"/>
            <w:vAlign w:val="top"/>
          </w:tcPr>
          <w:p>
            <w:pPr>
              <w:pStyle w:val="TableText"/>
              <w:ind w:left="396"/>
              <w:spacing w:before="106" w:line="175" w:lineRule="auto"/>
              <w:rPr>
                <w:sz w:val="22"/>
                <w:szCs w:val="22"/>
              </w:rPr>
            </w:pPr>
            <w:r>
              <w:rPr>
                <w:sz w:val="22"/>
                <w:szCs w:val="22"/>
                <w:spacing w:val="-2"/>
              </w:rPr>
              <w:t>600811</w:t>
            </w:r>
          </w:p>
        </w:tc>
        <w:tc>
          <w:tcPr>
            <w:shd w:val="clear" w:fill="F2DCDC"/>
            <w:tcW w:w="1485" w:type="dxa"/>
            <w:vAlign w:val="top"/>
          </w:tcPr>
          <w:p>
            <w:pPr>
              <w:pStyle w:val="TableText"/>
              <w:ind w:left="293"/>
              <w:spacing w:before="92" w:line="184" w:lineRule="auto"/>
              <w:rPr>
                <w:sz w:val="22"/>
                <w:szCs w:val="22"/>
              </w:rPr>
            </w:pPr>
            <w:r>
              <w:rPr>
                <w:sz w:val="22"/>
                <w:szCs w:val="22"/>
                <w:spacing w:val="-1"/>
              </w:rPr>
              <w:t>东方集团</w:t>
            </w:r>
          </w:p>
        </w:tc>
        <w:tc>
          <w:tcPr>
            <w:shd w:val="clear" w:fill="F2DCDC"/>
            <w:tcW w:w="1618" w:type="dxa"/>
            <w:vAlign w:val="top"/>
          </w:tcPr>
          <w:p>
            <w:pPr>
              <w:pStyle w:val="TableText"/>
              <w:ind w:left="364"/>
              <w:spacing w:before="92" w:line="184" w:lineRule="auto"/>
              <w:rPr>
                <w:sz w:val="22"/>
                <w:szCs w:val="22"/>
              </w:rPr>
            </w:pPr>
            <w:r>
              <w:rPr>
                <w:sz w:val="22"/>
                <w:szCs w:val="22"/>
                <w:spacing w:val="-1"/>
              </w:rPr>
              <w:t>监管警示</w:t>
            </w:r>
          </w:p>
        </w:tc>
        <w:tc>
          <w:tcPr>
            <w:shd w:val="clear" w:fill="F2DCDC"/>
            <w:tcW w:w="6115" w:type="dxa"/>
            <w:vAlign w:val="top"/>
          </w:tcPr>
          <w:p>
            <w:pPr>
              <w:pStyle w:val="TableText"/>
              <w:ind w:left="2" w:right="379" w:firstLine="1"/>
              <w:spacing w:before="92" w:line="208" w:lineRule="auto"/>
              <w:rPr>
                <w:sz w:val="22"/>
                <w:szCs w:val="22"/>
              </w:rPr>
            </w:pPr>
            <w:r>
              <w:rPr>
                <w:sz w:val="22"/>
                <w:szCs w:val="22"/>
              </w:rPr>
              <w:t>公司发生</w:t>
            </w:r>
            <w:r>
              <w:rPr>
                <w:sz w:val="22"/>
                <w:szCs w:val="22"/>
                <w:b/>
                <w:bCs/>
              </w:rPr>
              <w:t>关联交易</w:t>
            </w:r>
            <w:r>
              <w:rPr>
                <w:sz w:val="22"/>
                <w:szCs w:val="22"/>
              </w:rPr>
              <w:t>未按规定履行相应审议程序及</w:t>
            </w:r>
            <w:r>
              <w:rPr>
                <w:sz w:val="22"/>
                <w:szCs w:val="22"/>
                <w:spacing w:val="-1"/>
              </w:rPr>
              <w:t>信息披露义</w:t>
            </w:r>
            <w:r>
              <w:rPr>
                <w:sz w:val="22"/>
                <w:szCs w:val="22"/>
              </w:rPr>
              <w:t xml:space="preserve"> </w:t>
            </w:r>
            <w:r>
              <w:rPr>
                <w:sz w:val="22"/>
                <w:szCs w:val="22"/>
                <w:spacing w:val="-1"/>
              </w:rPr>
              <w:t>务。</w:t>
            </w:r>
          </w:p>
        </w:tc>
      </w:tr>
      <w:tr>
        <w:trPr>
          <w:trHeight w:val="390" w:hRule="atLeast"/>
        </w:trPr>
        <w:tc>
          <w:tcPr>
            <w:tcW w:w="1558" w:type="dxa"/>
            <w:vAlign w:val="top"/>
          </w:tcPr>
          <w:p>
            <w:pPr>
              <w:pStyle w:val="TableText"/>
              <w:ind w:left="396"/>
              <w:spacing w:before="111" w:line="171" w:lineRule="auto"/>
              <w:rPr>
                <w:sz w:val="22"/>
                <w:szCs w:val="22"/>
              </w:rPr>
            </w:pPr>
            <w:r>
              <w:rPr>
                <w:sz w:val="22"/>
                <w:szCs w:val="22"/>
                <w:spacing w:val="-2"/>
              </w:rPr>
              <w:t>600306</w:t>
            </w:r>
          </w:p>
        </w:tc>
        <w:tc>
          <w:tcPr>
            <w:tcW w:w="1485" w:type="dxa"/>
            <w:vAlign w:val="top"/>
          </w:tcPr>
          <w:p>
            <w:pPr>
              <w:pStyle w:val="TableText"/>
              <w:ind w:left="294"/>
              <w:spacing w:before="95" w:line="181" w:lineRule="auto"/>
              <w:rPr>
                <w:sz w:val="22"/>
                <w:szCs w:val="22"/>
              </w:rPr>
            </w:pPr>
            <w:r>
              <w:rPr>
                <w:sz w:val="22"/>
                <w:szCs w:val="22"/>
                <w:spacing w:val="-1"/>
              </w:rPr>
              <w:t>退市商城</w:t>
            </w:r>
          </w:p>
        </w:tc>
        <w:tc>
          <w:tcPr>
            <w:tcW w:w="1618" w:type="dxa"/>
            <w:vAlign w:val="top"/>
          </w:tcPr>
          <w:p>
            <w:pPr>
              <w:pStyle w:val="TableText"/>
              <w:ind w:left="362"/>
              <w:spacing w:before="98" w:line="179" w:lineRule="auto"/>
              <w:rPr>
                <w:sz w:val="22"/>
                <w:szCs w:val="22"/>
              </w:rPr>
            </w:pPr>
            <w:r>
              <w:rPr>
                <w:sz w:val="22"/>
                <w:szCs w:val="22"/>
                <w:spacing w:val="-1"/>
              </w:rPr>
              <w:t>通报批评</w:t>
            </w:r>
          </w:p>
        </w:tc>
        <w:tc>
          <w:tcPr>
            <w:tcW w:w="6115" w:type="dxa"/>
            <w:vAlign w:val="top"/>
          </w:tcPr>
          <w:p>
            <w:pPr>
              <w:pStyle w:val="TableText"/>
              <w:ind w:left="5"/>
              <w:spacing w:before="95" w:line="181" w:lineRule="auto"/>
              <w:rPr>
                <w:sz w:val="22"/>
                <w:szCs w:val="22"/>
              </w:rPr>
            </w:pPr>
            <w:r>
              <w:rPr>
                <w:sz w:val="22"/>
                <w:szCs w:val="22"/>
                <w:b/>
                <w:bCs/>
                <w:spacing w:val="-3"/>
              </w:rPr>
              <w:t>业绩预告</w:t>
            </w:r>
            <w:r>
              <w:rPr>
                <w:sz w:val="22"/>
                <w:szCs w:val="22"/>
                <w:spacing w:val="-3"/>
              </w:rPr>
              <w:t>披露不准确且未及时更正； </w:t>
            </w:r>
            <w:r>
              <w:rPr>
                <w:sz w:val="22"/>
                <w:szCs w:val="22"/>
                <w:b/>
                <w:bCs/>
                <w:spacing w:val="-3"/>
              </w:rPr>
              <w:t>定期报告</w:t>
            </w:r>
            <w:r>
              <w:rPr>
                <w:sz w:val="22"/>
                <w:szCs w:val="22"/>
                <w:spacing w:val="-3"/>
              </w:rPr>
              <w:t>披露不准确。</w:t>
            </w:r>
          </w:p>
        </w:tc>
      </w:tr>
    </w:tbl>
    <w:p>
      <w:pPr>
        <w:pStyle w:val="BodyText"/>
        <w:spacing w:line="253" w:lineRule="auto"/>
        <w:rPr/>
      </w:pPr>
      <w:r/>
    </w:p>
    <w:p>
      <w:pPr>
        <w:pStyle w:val="BodyText"/>
        <w:spacing w:line="253" w:lineRule="auto"/>
        <w:rPr/>
      </w:pPr>
      <w:r/>
    </w:p>
    <w:p>
      <w:pPr>
        <w:pStyle w:val="BodyText"/>
        <w:spacing w:line="254" w:lineRule="auto"/>
        <w:rPr/>
      </w:pPr>
      <w:r/>
    </w:p>
    <w:p>
      <w:pPr>
        <w:ind w:left="514"/>
        <w:spacing w:before="103"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2"/>
        </w:rPr>
        <w:t>（2） 问询函统计</w:t>
      </w:r>
    </w:p>
    <w:p>
      <w:pPr>
        <w:ind w:left="491"/>
        <w:spacing w:before="148"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3"/>
        </w:rPr>
        <w:t>2024年6月24日-6月30日， 上交所官网未查询到监管问询函。</w:t>
      </w:r>
    </w:p>
    <w:p>
      <w:pPr>
        <w:pStyle w:val="BodyText"/>
        <w:spacing w:line="241" w:lineRule="auto"/>
        <w:rPr/>
      </w:pPr>
      <w:r/>
    </w:p>
    <w:p>
      <w:pPr>
        <w:pStyle w:val="BodyText"/>
        <w:spacing w:line="241" w:lineRule="auto"/>
        <w:rPr/>
      </w:pPr>
      <w:r/>
    </w:p>
    <w:p>
      <w:pPr>
        <w:ind w:left="530"/>
        <w:spacing w:before="103"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2"/>
        </w:rPr>
        <w:t>2、市场交易监管动态</w:t>
      </w:r>
    </w:p>
    <w:p>
      <w:pPr>
        <w:ind w:firstLine="491"/>
        <w:spacing w:before="138" w:line="238"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spacing w:val="-2"/>
        </w:rPr>
        <w:t>2024年6月24日-6月30日， 上交所对43起拉抬打压、虚假申报等证券异常交易行为采取了书面警示</w:t>
      </w:r>
      <w:r>
        <w:rPr>
          <w:rFonts w:ascii="Microsoft YaHei" w:hAnsi="Microsoft YaHei" w:eastAsia="Microsoft YaHei" w:cs="Microsoft YaHei"/>
          <w:sz w:val="24"/>
          <w:szCs w:val="24"/>
          <w:spacing w:val="14"/>
        </w:rPr>
        <w:t xml:space="preserve"> </w:t>
      </w:r>
      <w:r>
        <w:rPr>
          <w:rFonts w:ascii="Microsoft YaHei" w:hAnsi="Microsoft YaHei" w:eastAsia="Microsoft YaHei" w:cs="Microsoft YaHei"/>
          <w:sz w:val="24"/>
          <w:szCs w:val="24"/>
          <w:spacing w:val="-3"/>
        </w:rPr>
        <w:t>等监管措施， 对退市整理股票以及个别波动幅度较大的可转债进行重点监控， 对11起上市公司重</w:t>
      </w:r>
      <w:r>
        <w:rPr>
          <w:rFonts w:ascii="Microsoft YaHei" w:hAnsi="Microsoft YaHei" w:eastAsia="Microsoft YaHei" w:cs="Microsoft YaHei"/>
          <w:sz w:val="24"/>
          <w:szCs w:val="24"/>
          <w:spacing w:val="-4"/>
        </w:rPr>
        <w:t>大事项</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3"/>
        </w:rPr>
        <w:t>等进行专项核查， 向证监会上报涉嫌违法违规案件线索2起。</w:t>
      </w:r>
    </w:p>
    <w:p>
      <w:pPr>
        <w:spacing w:line="238" w:lineRule="auto"/>
        <w:sectPr>
          <w:pgSz w:w="11910" w:h="16840"/>
          <w:pgMar w:top="400" w:right="558" w:bottom="0" w:left="442" w:header="0" w:footer="0" w:gutter="0"/>
        </w:sectPr>
        <w:rPr>
          <w:rFonts w:ascii="Microsoft YaHei" w:hAnsi="Microsoft YaHei" w:eastAsia="Microsoft YaHei" w:cs="Microsoft YaHei"/>
          <w:sz w:val="24"/>
          <w:szCs w:val="24"/>
        </w:rPr>
      </w:pPr>
    </w:p>
    <w:p>
      <w:pPr>
        <w:pStyle w:val="BodyText"/>
        <w:spacing w:line="293" w:lineRule="auto"/>
        <w:rPr/>
      </w:pPr>
      <w:r/>
    </w:p>
    <w:p>
      <w:pPr>
        <w:pStyle w:val="BodyText"/>
        <w:spacing w:line="294" w:lineRule="auto"/>
        <w:rPr/>
      </w:pPr>
      <w:r/>
    </w:p>
    <w:p>
      <w:pPr>
        <w:spacing w:line="924" w:lineRule="exact"/>
        <w:rPr/>
      </w:pPr>
      <w:r>
        <w:rPr>
          <w:position w:val="-18"/>
        </w:rPr>
        <w:pict>
          <v:group id="_x0000_s30" style="mso-position-vertical-relative:line;mso-position-horizontal-relative:char;width:134.8pt;height:46.25pt;" filled="false" stroked="false" coordsize="2696,925" coordorigin="0,0">
            <v:shape id="_x0000_s32" style="position:absolute;left:0;top:0;width:2696;height:925;" filled="false" stroked="false" type="#_x0000_t75">
              <v:imagedata o:title="" r:id="rId16"/>
            </v:shape>
            <v:shape id="_x0000_s34" style="position:absolute;left:-20;top:-20;width:2736;height:965;" filled="false" stroked="false" type="#_x0000_t202">
              <v:fill on="false"/>
              <v:stroke on="false"/>
              <v:path/>
              <v:imagedata o:title=""/>
              <o:lock v:ext="edit" aspectratio="false"/>
              <v:textbox inset="0mm,0mm,0mm,0mm">
                <w:txbxContent>
                  <w:p>
                    <w:pPr>
                      <w:ind w:left="366"/>
                      <w:spacing w:before="248" w:line="183"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FFFFFF"/>
                        <w:spacing w:val="-1"/>
                      </w:rPr>
                      <w:t>深交所监管动态</w:t>
                    </w:r>
                  </w:p>
                </w:txbxContent>
              </v:textbox>
            </v:shape>
          </v:group>
        </w:pict>
      </w:r>
    </w:p>
    <w:p>
      <w:pPr>
        <w:ind w:left="902"/>
        <w:spacing w:before="329"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3"/>
        </w:rPr>
        <w:t>1、上市公司监管动态</w:t>
      </w:r>
    </w:p>
    <w:p>
      <w:pPr>
        <w:ind w:left="933"/>
        <w:spacing w:before="170"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3"/>
        </w:rPr>
        <w:t>2024年6月24日-6月30日， 深交所发出1份监管函。</w:t>
      </w:r>
    </w:p>
    <w:p>
      <w:pPr>
        <w:pStyle w:val="BodyText"/>
        <w:spacing w:line="390" w:lineRule="auto"/>
        <w:rPr/>
      </w:pPr>
      <w:r/>
    </w:p>
    <w:p>
      <w:pPr>
        <w:ind w:firstLine="1481"/>
        <w:spacing w:line="4331" w:lineRule="exact"/>
        <w:rPr/>
      </w:pPr>
      <w:r>
        <w:rPr>
          <w:position w:val="-86"/>
        </w:rPr>
        <w:drawing>
          <wp:inline distT="0" distB="0" distL="0" distR="0">
            <wp:extent cx="5493384" cy="2750184"/>
            <wp:effectExtent l="0" t="0" r="0" b="0"/>
            <wp:docPr id="28" name="IM 28"/>
            <wp:cNvGraphicFramePr/>
            <a:graphic>
              <a:graphicData uri="http://schemas.openxmlformats.org/drawingml/2006/picture">
                <pic:pic>
                  <pic:nvPicPr>
                    <pic:cNvPr id="28" name="IM 28"/>
                    <pic:cNvPicPr/>
                  </pic:nvPicPr>
                  <pic:blipFill>
                    <a:blip r:embed="rId18"/>
                    <a:stretch>
                      <a:fillRect/>
                    </a:stretch>
                  </pic:blipFill>
                  <pic:spPr>
                    <a:xfrm rot="0">
                      <a:off x="0" y="0"/>
                      <a:ext cx="5493384" cy="2750184"/>
                    </a:xfrm>
                    <a:prstGeom prst="rect">
                      <a:avLst/>
                    </a:prstGeom>
                  </pic:spPr>
                </pic:pic>
              </a:graphicData>
            </a:graphic>
          </wp:inline>
        </w:drawing>
      </w:r>
    </w:p>
    <w:p>
      <w:pPr>
        <w:pStyle w:val="BodyText"/>
        <w:spacing w:line="364" w:lineRule="auto"/>
        <w:rPr/>
      </w:pPr>
      <w:r/>
    </w:p>
    <w:p>
      <w:pPr>
        <w:ind w:left="997"/>
        <w:spacing w:before="104" w:line="21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9"/>
        </w:rPr>
        <w:t>（1） 纪律处分及监管措施</w:t>
      </w:r>
    </w:p>
    <w:tbl>
      <w:tblPr>
        <w:tblStyle w:val="TableNormal"/>
        <w:tblW w:w="10776" w:type="dxa"/>
        <w:tblInd w:w="466"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757"/>
        <w:gridCol w:w="1774"/>
        <w:gridCol w:w="1791"/>
        <w:gridCol w:w="5454"/>
      </w:tblGrid>
      <w:tr>
        <w:trPr>
          <w:trHeight w:val="639" w:hRule="atLeast"/>
        </w:trPr>
        <w:tc>
          <w:tcPr>
            <w:shd w:val="clear" w:fill="4BACC6"/>
            <w:tcW w:w="1757" w:type="dxa"/>
            <w:vAlign w:val="top"/>
          </w:tcPr>
          <w:p>
            <w:pPr>
              <w:pStyle w:val="TableText"/>
              <w:ind w:left="440"/>
              <w:spacing w:before="93" w:line="183" w:lineRule="auto"/>
              <w:rPr>
                <w:sz w:val="22"/>
                <w:szCs w:val="22"/>
              </w:rPr>
            </w:pPr>
            <w:r>
              <w:rPr>
                <w:sz w:val="22"/>
                <w:szCs w:val="22"/>
                <w:b/>
                <w:bCs/>
                <w:color w:val="FFFFFF"/>
                <w:spacing w:val="-1"/>
              </w:rPr>
              <w:t>公司代码</w:t>
            </w:r>
          </w:p>
        </w:tc>
        <w:tc>
          <w:tcPr>
            <w:shd w:val="clear" w:fill="4BACC6"/>
            <w:tcW w:w="1774" w:type="dxa"/>
            <w:vAlign w:val="top"/>
            <w:tcBorders>
              <w:top w:val="nil"/>
            </w:tcBorders>
          </w:tcPr>
          <w:p>
            <w:pPr>
              <w:pStyle w:val="TableText"/>
              <w:ind w:left="447"/>
              <w:spacing w:before="93" w:line="183" w:lineRule="auto"/>
              <w:rPr>
                <w:sz w:val="22"/>
                <w:szCs w:val="22"/>
              </w:rPr>
            </w:pPr>
            <w:r>
              <w:rPr>
                <w:sz w:val="22"/>
                <w:szCs w:val="22"/>
                <w:b/>
                <w:bCs/>
                <w:color w:val="FFFFFF"/>
                <w:spacing w:val="-1"/>
              </w:rPr>
              <w:t>公司简称</w:t>
            </w:r>
          </w:p>
        </w:tc>
        <w:tc>
          <w:tcPr>
            <w:shd w:val="clear" w:fill="4BACC6"/>
            <w:tcW w:w="1791" w:type="dxa"/>
            <w:vAlign w:val="top"/>
            <w:tcBorders>
              <w:top w:val="nil"/>
            </w:tcBorders>
          </w:tcPr>
          <w:p>
            <w:pPr>
              <w:pStyle w:val="TableText"/>
              <w:ind w:left="455"/>
              <w:spacing w:before="91" w:line="184" w:lineRule="auto"/>
              <w:rPr>
                <w:sz w:val="22"/>
                <w:szCs w:val="22"/>
              </w:rPr>
            </w:pPr>
            <w:r>
              <w:rPr>
                <w:sz w:val="22"/>
                <w:szCs w:val="22"/>
                <w:b/>
                <w:bCs/>
                <w:color w:val="FFFFFF"/>
                <w:spacing w:val="-1"/>
              </w:rPr>
              <w:t>监管类型</w:t>
            </w:r>
          </w:p>
        </w:tc>
        <w:tc>
          <w:tcPr>
            <w:shd w:val="clear" w:fill="4BACC6"/>
            <w:tcW w:w="5454" w:type="dxa"/>
            <w:vAlign w:val="top"/>
            <w:tcBorders>
              <w:top w:val="nil"/>
            </w:tcBorders>
          </w:tcPr>
          <w:p>
            <w:pPr>
              <w:pStyle w:val="TableText"/>
              <w:ind w:left="2286"/>
              <w:spacing w:before="91" w:line="184" w:lineRule="auto"/>
              <w:rPr>
                <w:sz w:val="22"/>
                <w:szCs w:val="22"/>
              </w:rPr>
            </w:pPr>
            <w:r>
              <w:rPr>
                <w:sz w:val="22"/>
                <w:szCs w:val="22"/>
                <w:b/>
                <w:bCs/>
                <w:color w:val="FFFFFF"/>
                <w:spacing w:val="-1"/>
              </w:rPr>
              <w:t>处理事由</w:t>
            </w:r>
          </w:p>
        </w:tc>
      </w:tr>
      <w:tr>
        <w:trPr>
          <w:trHeight w:val="762" w:hRule="atLeast"/>
        </w:trPr>
        <w:tc>
          <w:tcPr>
            <w:tcW w:w="1757" w:type="dxa"/>
            <w:vAlign w:val="top"/>
          </w:tcPr>
          <w:p>
            <w:pPr>
              <w:pStyle w:val="TableText"/>
              <w:ind w:left="503"/>
              <w:spacing w:before="292" w:line="175" w:lineRule="auto"/>
              <w:rPr>
                <w:sz w:val="22"/>
                <w:szCs w:val="22"/>
              </w:rPr>
            </w:pPr>
            <w:r>
              <w:rPr>
                <w:sz w:val="22"/>
                <w:szCs w:val="22"/>
                <w:spacing w:val="-3"/>
              </w:rPr>
              <w:t>300155</w:t>
            </w:r>
          </w:p>
        </w:tc>
        <w:tc>
          <w:tcPr>
            <w:tcW w:w="1774" w:type="dxa"/>
            <w:vAlign w:val="top"/>
          </w:tcPr>
          <w:p>
            <w:pPr>
              <w:pStyle w:val="TableText"/>
              <w:ind w:left="556"/>
              <w:spacing w:before="278" w:line="184" w:lineRule="auto"/>
              <w:rPr>
                <w:sz w:val="22"/>
                <w:szCs w:val="22"/>
              </w:rPr>
            </w:pPr>
            <w:r>
              <w:rPr>
                <w:sz w:val="22"/>
                <w:szCs w:val="22"/>
                <w:spacing w:val="-1"/>
              </w:rPr>
              <w:t>安居宝</w:t>
            </w:r>
          </w:p>
        </w:tc>
        <w:tc>
          <w:tcPr>
            <w:tcW w:w="1791" w:type="dxa"/>
            <w:vAlign w:val="top"/>
          </w:tcPr>
          <w:p>
            <w:pPr>
              <w:pStyle w:val="TableText"/>
              <w:ind w:left="566"/>
              <w:spacing w:before="278" w:line="184" w:lineRule="auto"/>
              <w:rPr>
                <w:sz w:val="22"/>
                <w:szCs w:val="22"/>
              </w:rPr>
            </w:pPr>
            <w:r>
              <w:rPr>
                <w:sz w:val="22"/>
                <w:szCs w:val="22"/>
                <w:spacing w:val="-1"/>
              </w:rPr>
              <w:t>监管函</w:t>
            </w:r>
          </w:p>
        </w:tc>
        <w:tc>
          <w:tcPr>
            <w:tcW w:w="5454" w:type="dxa"/>
            <w:vAlign w:val="top"/>
          </w:tcPr>
          <w:p>
            <w:pPr>
              <w:pStyle w:val="TableText"/>
              <w:ind w:left="108" w:right="150"/>
              <w:spacing w:before="88" w:line="211" w:lineRule="auto"/>
              <w:rPr>
                <w:sz w:val="22"/>
                <w:szCs w:val="22"/>
              </w:rPr>
            </w:pPr>
            <w:r>
              <w:rPr>
                <w:sz w:val="22"/>
                <w:szCs w:val="22"/>
                <w:spacing w:val="5"/>
              </w:rPr>
              <w:t>公司</w:t>
            </w:r>
            <w:r>
              <w:rPr>
                <w:sz w:val="22"/>
                <w:szCs w:val="22"/>
                <w:b/>
                <w:bCs/>
                <w:spacing w:val="5"/>
              </w:rPr>
              <w:t>业绩预告</w:t>
            </w:r>
            <w:r>
              <w:rPr>
                <w:sz w:val="22"/>
                <w:szCs w:val="22"/>
                <w:spacing w:val="5"/>
              </w:rPr>
              <w:t>与年度报告中披露的净利润差异较大，</w:t>
            </w:r>
            <w:r>
              <w:rPr>
                <w:sz w:val="22"/>
                <w:szCs w:val="22"/>
                <w:spacing w:val="14"/>
              </w:rPr>
              <w:t xml:space="preserve"> </w:t>
            </w:r>
            <w:r>
              <w:rPr>
                <w:sz w:val="22"/>
                <w:szCs w:val="22"/>
                <w:spacing w:val="-1"/>
              </w:rPr>
              <w:t>信息披露不准确。</w:t>
            </w:r>
          </w:p>
        </w:tc>
      </w:tr>
    </w:tbl>
    <w:p>
      <w:pPr>
        <w:pStyle w:val="BodyText"/>
        <w:spacing w:line="301" w:lineRule="auto"/>
        <w:rPr/>
      </w:pPr>
      <w:r/>
    </w:p>
    <w:p>
      <w:pPr>
        <w:pStyle w:val="BodyText"/>
        <w:spacing w:line="301" w:lineRule="auto"/>
        <w:rPr/>
      </w:pPr>
      <w:r/>
    </w:p>
    <w:p>
      <w:pPr>
        <w:pStyle w:val="BodyText"/>
        <w:spacing w:line="301" w:lineRule="auto"/>
        <w:rPr/>
      </w:pPr>
      <w:r/>
    </w:p>
    <w:p>
      <w:pPr>
        <w:ind w:left="931"/>
        <w:spacing w:before="103"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2"/>
        </w:rPr>
        <w:t>2、市场交易监管动态</w:t>
      </w:r>
    </w:p>
    <w:p>
      <w:pPr>
        <w:pStyle w:val="BodyText"/>
        <w:spacing w:line="272" w:lineRule="auto"/>
        <w:rPr/>
      </w:pPr>
      <w:r/>
    </w:p>
    <w:p>
      <w:pPr>
        <w:ind w:left="443" w:firstLine="489"/>
        <w:spacing w:before="103" w:line="360"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spacing w:val="-3"/>
        </w:rPr>
        <w:t>2024 年 6 月 24</w:t>
      </w:r>
      <w:r>
        <w:rPr>
          <w:rFonts w:ascii="Microsoft YaHei" w:hAnsi="Microsoft YaHei" w:eastAsia="Microsoft YaHei" w:cs="Microsoft YaHei"/>
          <w:sz w:val="24"/>
          <w:szCs w:val="24"/>
          <w:spacing w:val="26"/>
        </w:rPr>
        <w:t xml:space="preserve"> </w:t>
      </w:r>
      <w:r>
        <w:rPr>
          <w:rFonts w:ascii="Microsoft YaHei" w:hAnsi="Microsoft YaHei" w:eastAsia="Microsoft YaHei" w:cs="Microsoft YaHei"/>
          <w:sz w:val="24"/>
          <w:szCs w:val="24"/>
          <w:spacing w:val="-3"/>
        </w:rPr>
        <w:t>日-6 月 30</w:t>
      </w:r>
      <w:r>
        <w:rPr>
          <w:rFonts w:ascii="Microsoft YaHei" w:hAnsi="Microsoft YaHei" w:eastAsia="Microsoft YaHei" w:cs="Microsoft YaHei"/>
          <w:sz w:val="24"/>
          <w:szCs w:val="24"/>
          <w:spacing w:val="29"/>
        </w:rPr>
        <w:t xml:space="preserve"> </w:t>
      </w:r>
      <w:r>
        <w:rPr>
          <w:rFonts w:ascii="Microsoft YaHei" w:hAnsi="Microsoft YaHei" w:eastAsia="Microsoft YaHei" w:cs="Microsoft YaHei"/>
          <w:sz w:val="24"/>
          <w:szCs w:val="24"/>
          <w:spacing w:val="-3"/>
        </w:rPr>
        <w:t>日， 深交所共对 123 起证券异常</w:t>
      </w:r>
      <w:r>
        <w:rPr>
          <w:rFonts w:ascii="Microsoft YaHei" w:hAnsi="Microsoft YaHei" w:eastAsia="Microsoft YaHei" w:cs="Microsoft YaHei"/>
          <w:sz w:val="24"/>
          <w:szCs w:val="24"/>
          <w:spacing w:val="-4"/>
        </w:rPr>
        <w:t>交易行为采取了自律监管措施， 涉及</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1"/>
        </w:rPr>
        <w:t>盘中拉抬打压、虚假申报等异常交易情形； 对“百邦科技”等股价异动证券进行重点</w:t>
      </w:r>
      <w:r>
        <w:rPr>
          <w:rFonts w:ascii="Microsoft YaHei" w:hAnsi="Microsoft YaHei" w:eastAsia="Microsoft YaHei" w:cs="Microsoft YaHei"/>
          <w:sz w:val="24"/>
          <w:szCs w:val="24"/>
          <w:spacing w:val="-2"/>
        </w:rPr>
        <w:t>监控； 共对 14 起</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3"/>
        </w:rPr>
        <w:t>上市公司重大事项进行核查， 并上报证监会 2 起涉嫌违法违规案件线索。</w:t>
      </w:r>
    </w:p>
    <w:sectPr>
      <w:pgSz w:w="11910" w:h="16840"/>
      <w:pgMar w:top="400" w:right="639" w:bottom="0" w:left="0"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drawing>
        <wp:anchor distT="0" distB="0" distL="0" distR="0" simplePos="0" relativeHeight="251658240" behindDoc="1" locked="0" layoutInCell="0" allowOverlap="1">
          <wp:simplePos x="0" y="0"/>
          <wp:positionH relativeFrom="page">
            <wp:posOffset>0</wp:posOffset>
          </wp:positionH>
          <wp:positionV relativeFrom="page">
            <wp:posOffset>0</wp:posOffset>
          </wp:positionV>
          <wp:extent cx="7499604" cy="7441692"/>
          <wp:effectExtent l="0" t="0" r="0" b="0"/>
          <wp:wrapNone/>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7499604" cy="7441692"/>
                  </a:xfrm>
                  <a:prstGeom prst="rect">
                    <a:avLst/>
                  </a:prstGeom>
                </pic:spPr>
              </pic:pic>
            </a:graphicData>
          </a:graphic>
        </wp:anchor>
      </w:drawing>
    </w: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Microsoft YaHei" w:hAnsi="Microsoft YaHei" w:eastAsia="Microsoft YaHei" w:cs="Microsoft YaHei"/>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8.png"/><Relationship Id="rId8" Type="http://schemas.openxmlformats.org/officeDocument/2006/relationships/image" Target="media/image7.jpeg"/><Relationship Id="rId7" Type="http://schemas.openxmlformats.org/officeDocument/2006/relationships/image" Target="media/image6.jpeg"/><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media/image3.jpeg"/><Relationship Id="rId3" Type="http://schemas.openxmlformats.org/officeDocument/2006/relationships/image" Target="media/image2.png"/><Relationship Id="rId21" Type="http://schemas.openxmlformats.org/officeDocument/2006/relationships/fontTable" Target="fontTable.xml"/><Relationship Id="rId20" Type="http://schemas.openxmlformats.org/officeDocument/2006/relationships/styles" Target="styles.xml"/><Relationship Id="rId2" Type="http://schemas.openxmlformats.org/officeDocument/2006/relationships/header" Target="header2.xml"/><Relationship Id="rId19" Type="http://schemas.openxmlformats.org/officeDocument/2006/relationships/settings" Target="settings.xml"/><Relationship Id="rId18" Type="http://schemas.openxmlformats.org/officeDocument/2006/relationships/image" Target="media/image17.jpeg"/><Relationship Id="rId17" Type="http://schemas.openxmlformats.org/officeDocument/2006/relationships/image" Target="media/image16.jpeg"/><Relationship Id="rId16" Type="http://schemas.openxmlformats.org/officeDocument/2006/relationships/image" Target="media/image15.jpeg"/><Relationship Id="rId15" Type="http://schemas.openxmlformats.org/officeDocument/2006/relationships/image" Target="media/image14.jpeg"/><Relationship Id="rId14" Type="http://schemas.openxmlformats.org/officeDocument/2006/relationships/image" Target="media/image13.jpeg"/><Relationship Id="rId13" Type="http://schemas.openxmlformats.org/officeDocument/2006/relationships/image" Target="media/image12.jpeg"/><Relationship Id="rId12" Type="http://schemas.openxmlformats.org/officeDocument/2006/relationships/image" Target="media/image11.jpeg"/><Relationship Id="rId11" Type="http://schemas.openxmlformats.org/officeDocument/2006/relationships/image" Target="media/image10.jpeg"/><Relationship Id="rId10" Type="http://schemas.openxmlformats.org/officeDocument/2006/relationships/image" Target="media/image9.jpeg"/><Relationship Id="rId1"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白尚武</dc:creator>
  <dcterms:created xsi:type="dcterms:W3CDTF">2024-07-01T10:22:15Z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2024-07-01T11:06:22</vt:filetime>
  </property>
</Properties>
</file>