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3" Type="http://schemas.openxmlformats.org/package/2006/relationships/metadata/core-properties" Target="docProps/core.xml"/><Relationship Id="rId4" Type="http://schemas.openxmlformats.org/officeDocument/2006/relationships/extended-properties" Target="docProps/app.xml"/><Relationship Id="rId2" Type="http://schemas.openxmlformats.org/officeDocument/2006/relationships/custom-properties" Target="docProps/custom.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body>
    <w:p>
      <w:pPr>
        <w:pStyle w:val="BodyText"/>
        <w:spacing w:line="261" w:lineRule="auto"/>
        <w:rPr/>
      </w:pPr>
      <w:r/>
    </w:p>
    <w:p>
      <w:pPr>
        <w:pStyle w:val="BodyText"/>
        <w:spacing w:line="261" w:lineRule="auto"/>
        <w:rPr/>
      </w:pPr>
      <w:r/>
    </w:p>
    <w:p>
      <w:pPr>
        <w:pStyle w:val="BodyText"/>
        <w:spacing w:line="262" w:lineRule="auto"/>
        <w:rPr/>
      </w:pPr>
      <w:r/>
    </w:p>
    <w:p>
      <w:pPr>
        <w:pStyle w:val="BodyText"/>
        <w:spacing w:line="262" w:lineRule="auto"/>
        <w:rPr/>
      </w:pPr>
      <w:r/>
    </w:p>
    <w:p>
      <w:pPr>
        <w:pStyle w:val="BodyText"/>
        <w:spacing w:line="262" w:lineRule="auto"/>
        <w:rPr/>
      </w:pPr>
      <w:r/>
    </w:p>
    <w:p>
      <w:pPr>
        <w:pStyle w:val="BodyText"/>
        <w:spacing w:line="262" w:lineRule="auto"/>
        <w:rPr/>
      </w:pPr>
      <w:r/>
    </w:p>
    <w:p>
      <w:pPr>
        <w:pStyle w:val="BodyText"/>
        <w:spacing w:line="262" w:lineRule="auto"/>
        <w:rPr/>
      </w:pPr>
      <w:r/>
    </w:p>
    <w:p>
      <w:pPr>
        <w:pStyle w:val="BodyText"/>
        <w:spacing w:line="262" w:lineRule="auto"/>
        <w:rPr/>
      </w:pPr>
      <w:r/>
    </w:p>
    <w:p>
      <w:pPr>
        <w:ind w:left="2592"/>
        <w:spacing w:before="356" w:line="216" w:lineRule="auto"/>
        <w:outlineLvl w:val="0"/>
        <w:rPr>
          <w:rFonts w:ascii="Microsoft YaHei" w:hAnsi="Microsoft YaHei" w:eastAsia="Microsoft YaHei" w:cs="Microsoft YaHei"/>
          <w:sz w:val="83"/>
          <w:szCs w:val="83"/>
        </w:rPr>
      </w:pPr>
      <w:r>
        <w:rPr>
          <w:rFonts w:ascii="Microsoft YaHei" w:hAnsi="Microsoft YaHei" w:eastAsia="Microsoft YaHei" w:cs="Microsoft YaHei"/>
          <w:sz w:val="83"/>
          <w:szCs w:val="83"/>
          <w:b/>
          <w:bCs/>
          <w:color w:val="FFFFFF"/>
          <w:spacing w:val="7"/>
        </w:rPr>
        <w:t>一周法规速递|监管动态</w:t>
      </w:r>
    </w:p>
    <w:p>
      <w:pPr>
        <w:ind w:left="5417"/>
        <w:spacing w:before="7" w:line="183" w:lineRule="auto"/>
        <w:rPr>
          <w:rFonts w:ascii="Microsoft YaHei" w:hAnsi="Microsoft YaHei" w:eastAsia="Microsoft YaHei" w:cs="Microsoft YaHei"/>
          <w:sz w:val="30"/>
          <w:szCs w:val="30"/>
        </w:rPr>
      </w:pPr>
      <w:r>
        <w:rPr>
          <w:rFonts w:ascii="Microsoft YaHei" w:hAnsi="Microsoft YaHei" w:eastAsia="Microsoft YaHei" w:cs="Microsoft YaHei"/>
          <w:sz w:val="30"/>
          <w:szCs w:val="30"/>
          <w:color w:val="FFFFFF"/>
          <w:spacing w:val="-5"/>
        </w:rPr>
        <w:t>2024 年 06 月</w:t>
      </w:r>
      <w:r>
        <w:rPr>
          <w:rFonts w:ascii="Microsoft YaHei" w:hAnsi="Microsoft YaHei" w:eastAsia="Microsoft YaHei" w:cs="Microsoft YaHei"/>
          <w:sz w:val="30"/>
          <w:szCs w:val="30"/>
          <w:color w:val="FFFFFF"/>
          <w:spacing w:val="31"/>
        </w:rPr>
        <w:t xml:space="preserve"> </w:t>
      </w:r>
      <w:r>
        <w:rPr>
          <w:rFonts w:ascii="Microsoft YaHei" w:hAnsi="Microsoft YaHei" w:eastAsia="Microsoft YaHei" w:cs="Microsoft YaHei"/>
          <w:sz w:val="30"/>
          <w:szCs w:val="30"/>
          <w:color w:val="FFFFFF"/>
          <w:spacing w:val="-5"/>
        </w:rPr>
        <w:t>17</w:t>
      </w:r>
      <w:r>
        <w:rPr>
          <w:rFonts w:ascii="Microsoft YaHei" w:hAnsi="Microsoft YaHei" w:eastAsia="Microsoft YaHei" w:cs="Microsoft YaHei"/>
          <w:sz w:val="30"/>
          <w:szCs w:val="30"/>
          <w:color w:val="FFFFFF"/>
          <w:spacing w:val="48"/>
        </w:rPr>
        <w:t xml:space="preserve"> </w:t>
      </w:r>
      <w:r>
        <w:rPr>
          <w:rFonts w:ascii="Microsoft YaHei" w:hAnsi="Microsoft YaHei" w:eastAsia="Microsoft YaHei" w:cs="Microsoft YaHei"/>
          <w:sz w:val="30"/>
          <w:szCs w:val="30"/>
          <w:color w:val="FFFFFF"/>
          <w:spacing w:val="-5"/>
        </w:rPr>
        <w:t>日—2024 </w:t>
      </w:r>
      <w:r>
        <w:rPr>
          <w:rFonts w:ascii="Microsoft YaHei" w:hAnsi="Microsoft YaHei" w:eastAsia="Microsoft YaHei" w:cs="Microsoft YaHei"/>
          <w:sz w:val="30"/>
          <w:szCs w:val="30"/>
          <w:color w:val="FFFFFF"/>
          <w:spacing w:val="-6"/>
        </w:rPr>
        <w:t>年</w:t>
      </w:r>
      <w:r>
        <w:rPr>
          <w:rFonts w:ascii="Microsoft YaHei" w:hAnsi="Microsoft YaHei" w:eastAsia="Microsoft YaHei" w:cs="Microsoft YaHei"/>
          <w:sz w:val="30"/>
          <w:szCs w:val="30"/>
          <w:color w:val="FFFFFF"/>
          <w:spacing w:val="13"/>
        </w:rPr>
        <w:t xml:space="preserve"> </w:t>
      </w:r>
      <w:r>
        <w:rPr>
          <w:rFonts w:ascii="Microsoft YaHei" w:hAnsi="Microsoft YaHei" w:eastAsia="Microsoft YaHei" w:cs="Microsoft YaHei"/>
          <w:sz w:val="30"/>
          <w:szCs w:val="30"/>
          <w:color w:val="FFFFFF"/>
          <w:spacing w:val="-6"/>
        </w:rPr>
        <w:t>06</w:t>
      </w:r>
      <w:r>
        <w:rPr>
          <w:rFonts w:ascii="Microsoft YaHei" w:hAnsi="Microsoft YaHei" w:eastAsia="Microsoft YaHei" w:cs="Microsoft YaHei"/>
          <w:sz w:val="30"/>
          <w:szCs w:val="30"/>
          <w:color w:val="FFFFFF"/>
          <w:spacing w:val="12"/>
        </w:rPr>
        <w:t xml:space="preserve"> </w:t>
      </w:r>
      <w:r>
        <w:rPr>
          <w:rFonts w:ascii="Microsoft YaHei" w:hAnsi="Microsoft YaHei" w:eastAsia="Microsoft YaHei" w:cs="Microsoft YaHei"/>
          <w:sz w:val="30"/>
          <w:szCs w:val="30"/>
          <w:color w:val="FFFFFF"/>
          <w:spacing w:val="-6"/>
        </w:rPr>
        <w:t>月</w:t>
      </w:r>
      <w:r>
        <w:rPr>
          <w:rFonts w:ascii="Microsoft YaHei" w:hAnsi="Microsoft YaHei" w:eastAsia="Microsoft YaHei" w:cs="Microsoft YaHei"/>
          <w:sz w:val="30"/>
          <w:szCs w:val="30"/>
          <w:color w:val="FFFFFF"/>
          <w:spacing w:val="18"/>
        </w:rPr>
        <w:t xml:space="preserve"> </w:t>
      </w:r>
      <w:r>
        <w:rPr>
          <w:rFonts w:ascii="Microsoft YaHei" w:hAnsi="Microsoft YaHei" w:eastAsia="Microsoft YaHei" w:cs="Microsoft YaHei"/>
          <w:sz w:val="30"/>
          <w:szCs w:val="30"/>
          <w:color w:val="FFFFFF"/>
          <w:spacing w:val="-6"/>
        </w:rPr>
        <w:t>23</w:t>
      </w:r>
      <w:r>
        <w:rPr>
          <w:rFonts w:ascii="Microsoft YaHei" w:hAnsi="Microsoft YaHei" w:eastAsia="Microsoft YaHei" w:cs="Microsoft YaHei"/>
          <w:sz w:val="30"/>
          <w:szCs w:val="30"/>
          <w:color w:val="FFFFFF"/>
          <w:spacing w:val="45"/>
        </w:rPr>
        <w:t xml:space="preserve"> </w:t>
      </w:r>
      <w:r>
        <w:rPr>
          <w:rFonts w:ascii="Microsoft YaHei" w:hAnsi="Microsoft YaHei" w:eastAsia="Microsoft YaHei" w:cs="Microsoft YaHei"/>
          <w:sz w:val="30"/>
          <w:szCs w:val="30"/>
          <w:color w:val="FFFFFF"/>
          <w:spacing w:val="-6"/>
        </w:rPr>
        <w:t>日</w:t>
      </w:r>
    </w:p>
    <w:p>
      <w:pPr>
        <w:pStyle w:val="BodyText"/>
        <w:spacing w:line="249" w:lineRule="auto"/>
        <w:rPr/>
      </w:pPr>
      <w:r/>
    </w:p>
    <w:p>
      <w:pPr>
        <w:pStyle w:val="BodyText"/>
        <w:spacing w:line="249" w:lineRule="auto"/>
        <w:rPr/>
      </w:pPr>
      <w:r/>
    </w:p>
    <w:p>
      <w:pPr>
        <w:pStyle w:val="BodyText"/>
        <w:spacing w:line="249" w:lineRule="auto"/>
        <w:rPr/>
      </w:pPr>
      <w:r/>
    </w:p>
    <w:p>
      <w:pPr>
        <w:pStyle w:val="BodyText"/>
        <w:spacing w:line="249" w:lineRule="auto"/>
        <w:rPr/>
      </w:pPr>
      <w:r/>
    </w:p>
    <w:p>
      <w:pPr>
        <w:pStyle w:val="BodyText"/>
        <w:spacing w:line="249" w:lineRule="auto"/>
        <w:rPr/>
      </w:pPr>
      <w:r/>
    </w:p>
    <w:p>
      <w:pPr>
        <w:pStyle w:val="BodyText"/>
        <w:spacing w:line="249" w:lineRule="auto"/>
        <w:rPr/>
      </w:pPr>
      <w:r/>
    </w:p>
    <w:p>
      <w:pPr>
        <w:pStyle w:val="BodyText"/>
        <w:spacing w:line="249" w:lineRule="auto"/>
        <w:rPr/>
      </w:pPr>
      <w:r/>
    </w:p>
    <w:p>
      <w:pPr>
        <w:pStyle w:val="BodyText"/>
        <w:spacing w:line="249" w:lineRule="auto"/>
        <w:rPr/>
      </w:pPr>
      <w:r/>
    </w:p>
    <w:p>
      <w:pPr>
        <w:pStyle w:val="BodyText"/>
        <w:spacing w:line="249" w:lineRule="auto"/>
        <w:rPr/>
      </w:pPr>
      <w:r/>
    </w:p>
    <w:p>
      <w:pPr>
        <w:pStyle w:val="BodyText"/>
        <w:spacing w:line="249" w:lineRule="auto"/>
        <w:rPr/>
      </w:pPr>
      <w:r/>
    </w:p>
    <w:p>
      <w:pPr>
        <w:pStyle w:val="BodyText"/>
        <w:spacing w:line="249" w:lineRule="auto"/>
        <w:rPr/>
      </w:pPr>
      <w:r/>
    </w:p>
    <w:p>
      <w:pPr>
        <w:pStyle w:val="BodyText"/>
        <w:spacing w:line="249" w:lineRule="auto"/>
        <w:rPr/>
      </w:pPr>
      <w:r/>
    </w:p>
    <w:p>
      <w:pPr>
        <w:pStyle w:val="BodyText"/>
        <w:spacing w:line="249" w:lineRule="auto"/>
        <w:rPr/>
      </w:pPr>
      <w:r/>
    </w:p>
    <w:p>
      <w:pPr>
        <w:pStyle w:val="BodyText"/>
        <w:spacing w:line="249" w:lineRule="auto"/>
        <w:rPr/>
      </w:pPr>
      <w:r/>
    </w:p>
    <w:p>
      <w:pPr>
        <w:pStyle w:val="BodyText"/>
        <w:spacing w:line="249" w:lineRule="auto"/>
        <w:rPr/>
      </w:pPr>
      <w:r/>
    </w:p>
    <w:p>
      <w:pPr>
        <w:pStyle w:val="BodyText"/>
        <w:spacing w:line="249" w:lineRule="auto"/>
        <w:rPr/>
      </w:pPr>
      <w:r/>
    </w:p>
    <w:p>
      <w:pPr>
        <w:pStyle w:val="BodyText"/>
        <w:spacing w:line="249" w:lineRule="auto"/>
        <w:rPr/>
      </w:pPr>
      <w:r/>
    </w:p>
    <w:p>
      <w:pPr>
        <w:pStyle w:val="BodyText"/>
        <w:spacing w:line="249" w:lineRule="auto"/>
        <w:rPr/>
      </w:pPr>
      <w:r/>
    </w:p>
    <w:p>
      <w:pPr>
        <w:pStyle w:val="BodyText"/>
        <w:spacing w:line="249" w:lineRule="auto"/>
        <w:rPr/>
      </w:pPr>
      <w:r/>
    </w:p>
    <w:p>
      <w:pPr>
        <w:pStyle w:val="BodyText"/>
        <w:spacing w:line="249" w:lineRule="auto"/>
        <w:rPr/>
      </w:pPr>
      <w:r/>
    </w:p>
    <w:p>
      <w:pPr>
        <w:pStyle w:val="BodyText"/>
        <w:spacing w:line="249" w:lineRule="auto"/>
        <w:rPr/>
      </w:pPr>
      <w:r/>
    </w:p>
    <w:p>
      <w:pPr>
        <w:pStyle w:val="BodyText"/>
        <w:spacing w:line="249" w:lineRule="auto"/>
        <w:rPr/>
      </w:pPr>
      <w:r/>
    </w:p>
    <w:p>
      <w:pPr>
        <w:pStyle w:val="BodyText"/>
        <w:spacing w:line="249" w:lineRule="auto"/>
        <w:rPr/>
      </w:pPr>
      <w:r/>
    </w:p>
    <w:p>
      <w:pPr>
        <w:pStyle w:val="BodyText"/>
        <w:spacing w:line="249" w:lineRule="auto"/>
        <w:rPr/>
      </w:pPr>
      <w:r/>
    </w:p>
    <w:p>
      <w:pPr>
        <w:ind w:left="4586" w:right="3636" w:hanging="886"/>
        <w:spacing w:before="133" w:line="195" w:lineRule="auto"/>
        <w:rPr>
          <w:rFonts w:ascii="Microsoft YaHei" w:hAnsi="Microsoft YaHei" w:eastAsia="Microsoft YaHei" w:cs="Microsoft YaHei"/>
          <w:sz w:val="31"/>
          <w:szCs w:val="31"/>
        </w:rPr>
      </w:pPr>
      <w:r>
        <w:rPr>
          <w:rFonts w:ascii="Microsoft YaHei" w:hAnsi="Microsoft YaHei" w:eastAsia="Microsoft YaHei" w:cs="Microsoft YaHei"/>
          <w:sz w:val="31"/>
          <w:szCs w:val="31"/>
          <w:b/>
          <w:bCs/>
          <w:spacing w:val="9"/>
        </w:rPr>
        <w:t>深圳价值在线咨询顾问有限公司</w:t>
      </w:r>
      <w:r>
        <w:rPr>
          <w:rFonts w:ascii="Microsoft YaHei" w:hAnsi="Microsoft YaHei" w:eastAsia="Microsoft YaHei" w:cs="Microsoft YaHei"/>
          <w:sz w:val="31"/>
          <w:szCs w:val="31"/>
          <w:b/>
          <w:bCs/>
          <w:spacing w:val="6"/>
        </w:rPr>
        <w:t xml:space="preserve"> </w:t>
      </w:r>
      <w:r>
        <w:rPr>
          <w:rFonts w:ascii="Microsoft YaHei" w:hAnsi="Microsoft YaHei" w:eastAsia="Microsoft YaHei" w:cs="Microsoft YaHei"/>
          <w:sz w:val="31"/>
          <w:szCs w:val="31"/>
          <w:b/>
          <w:bCs/>
        </w:rPr>
        <w:t>2024 年</w:t>
      </w:r>
      <w:r>
        <w:rPr>
          <w:rFonts w:ascii="Microsoft YaHei" w:hAnsi="Microsoft YaHei" w:eastAsia="Microsoft YaHei" w:cs="Microsoft YaHei"/>
          <w:sz w:val="31"/>
          <w:szCs w:val="31"/>
          <w:b/>
          <w:bCs/>
          <w:spacing w:val="24"/>
        </w:rPr>
        <w:t xml:space="preserve"> </w:t>
      </w:r>
      <w:r>
        <w:rPr>
          <w:rFonts w:ascii="Microsoft YaHei" w:hAnsi="Microsoft YaHei" w:eastAsia="Microsoft YaHei" w:cs="Microsoft YaHei"/>
          <w:sz w:val="31"/>
          <w:szCs w:val="31"/>
          <w:b/>
          <w:bCs/>
        </w:rPr>
        <w:t>06</w:t>
      </w:r>
      <w:r>
        <w:rPr>
          <w:rFonts w:ascii="Microsoft YaHei" w:hAnsi="Microsoft YaHei" w:eastAsia="Microsoft YaHei" w:cs="Microsoft YaHei"/>
          <w:sz w:val="31"/>
          <w:szCs w:val="31"/>
          <w:b/>
          <w:bCs/>
          <w:spacing w:val="18"/>
        </w:rPr>
        <w:t xml:space="preserve"> </w:t>
      </w:r>
      <w:r>
        <w:rPr>
          <w:rFonts w:ascii="Microsoft YaHei" w:hAnsi="Microsoft YaHei" w:eastAsia="Microsoft YaHei" w:cs="Microsoft YaHei"/>
          <w:sz w:val="31"/>
          <w:szCs w:val="31"/>
          <w:b/>
          <w:bCs/>
        </w:rPr>
        <w:t>月</w:t>
      </w:r>
      <w:r>
        <w:rPr>
          <w:rFonts w:ascii="Microsoft YaHei" w:hAnsi="Microsoft YaHei" w:eastAsia="Microsoft YaHei" w:cs="Microsoft YaHei"/>
          <w:sz w:val="31"/>
          <w:szCs w:val="31"/>
          <w:b/>
          <w:bCs/>
          <w:spacing w:val="18"/>
        </w:rPr>
        <w:t xml:space="preserve"> </w:t>
      </w:r>
      <w:r>
        <w:rPr>
          <w:rFonts w:ascii="Microsoft YaHei" w:hAnsi="Microsoft YaHei" w:eastAsia="Microsoft YaHei" w:cs="Microsoft YaHei"/>
          <w:sz w:val="31"/>
          <w:szCs w:val="31"/>
          <w:b/>
          <w:bCs/>
        </w:rPr>
        <w:t>24</w:t>
      </w:r>
      <w:r>
        <w:rPr>
          <w:rFonts w:ascii="Microsoft YaHei" w:hAnsi="Microsoft YaHei" w:eastAsia="Microsoft YaHei" w:cs="Microsoft YaHei"/>
          <w:sz w:val="31"/>
          <w:szCs w:val="31"/>
          <w:b/>
          <w:bCs/>
          <w:spacing w:val="43"/>
        </w:rPr>
        <w:t xml:space="preserve"> </w:t>
      </w:r>
      <w:r>
        <w:rPr>
          <w:rFonts w:ascii="Microsoft YaHei" w:hAnsi="Microsoft YaHei" w:eastAsia="Microsoft YaHei" w:cs="Microsoft YaHei"/>
          <w:sz w:val="31"/>
          <w:szCs w:val="31"/>
          <w:b/>
          <w:bCs/>
        </w:rPr>
        <w:t>日</w:t>
      </w:r>
    </w:p>
    <w:p>
      <w:pPr>
        <w:spacing w:line="195" w:lineRule="auto"/>
        <w:sectPr>
          <w:headerReference w:type="default" r:id="rId1"/>
          <w:pgSz w:w="11910" w:h="16840"/>
          <w:pgMar w:top="400" w:right="99" w:bottom="0" w:left="0" w:header="0" w:footer="0" w:gutter="0"/>
        </w:sectPr>
        <w:rPr>
          <w:rFonts w:ascii="Microsoft YaHei" w:hAnsi="Microsoft YaHei" w:eastAsia="Microsoft YaHei" w:cs="Microsoft YaHei"/>
          <w:sz w:val="31"/>
          <w:szCs w:val="31"/>
        </w:rPr>
      </w:pPr>
    </w:p>
    <w:p>
      <w:pPr>
        <w:rPr>
          <w:rFonts w:ascii="Microsoft YaHei" w:hAnsi="Microsoft YaHei" w:eastAsia="Microsoft YaHei" w:cs="Microsoft YaHei"/>
          <w:sz w:val="43"/>
          <w:szCs w:val="43"/>
        </w:rPr>
      </w:pPr>
      <w:r>
        <w:pict>
          <v:rect id="_x0000_s2" style="position:absolute;margin-left:63.25pt;margin-top:45.673pt;mso-position-vertical-relative:text;mso-position-horizontal-relative:text;width:525.55pt;height:2.75pt;z-index:251659264;" fillcolor="#A61C1F" filled="true" stroked="false"/>
        </w:pict>
      </w:r>
      <w:r>
        <w:pict>
          <v:shape id="_x0000_s4" style="position:absolute;margin-left:28.275pt;margin-top:35.406pt;mso-position-vertical-relative:text;mso-position-horizontal-relative:text;width:4.4pt;height:5pt;z-index:-251658240;" fillcolor="#FFFFFF" filled="true" stroked="false" coordsize="88,100" coordorigin="0,0" path="m44,99m44,99l27,94l12,84l3,68l0,48l3,29l12,15l27,3l44,0l58,3l72,15l82,29l87,48l82,68l72,84l58,94l44,99e"/>
        </w:pict>
      </w:r>
      <w:r>
        <w:rPr>
          <w:rFonts w:ascii="Microsoft YaHei" w:hAnsi="Microsoft YaHei" w:eastAsia="Microsoft YaHei" w:cs="Microsoft YaHei"/>
          <w:sz w:val="43"/>
          <w:szCs w:val="43"/>
          <w:position w:val="-39"/>
        </w:rPr>
        <w:drawing>
          <wp:inline distT="0" distB="0" distL="0" distR="0">
            <wp:extent cx="803148" cy="623964"/>
            <wp:effectExtent l="0" t="0" r="0" b="0"/>
            <wp:docPr id="4" name="IM 4"/>
            <wp:cNvGraphicFramePr/>
            <a:graphic>
              <a:graphicData uri="http://schemas.openxmlformats.org/drawingml/2006/picture">
                <pic:pic>
                  <pic:nvPicPr>
                    <pic:cNvPr id="4" name="IM 4"/>
                    <pic:cNvPicPr/>
                  </pic:nvPicPr>
                  <pic:blipFill>
                    <a:blip r:embed="rId3"/>
                    <a:stretch>
                      <a:fillRect/>
                    </a:stretch>
                  </pic:blipFill>
                  <pic:spPr>
                    <a:xfrm rot="0">
                      <a:off x="0" y="0"/>
                      <a:ext cx="803148" cy="623964"/>
                    </a:xfrm>
                    <a:prstGeom prst="rect">
                      <a:avLst/>
                    </a:prstGeom>
                  </pic:spPr>
                </pic:pic>
              </a:graphicData>
            </a:graphic>
          </wp:inline>
        </w:drawing>
      </w:r>
      <w:r>
        <w:rPr>
          <w:rFonts w:ascii="Microsoft YaHei" w:hAnsi="Microsoft YaHei" w:eastAsia="Microsoft YaHei" w:cs="Microsoft YaHei"/>
          <w:sz w:val="43"/>
          <w:szCs w:val="43"/>
          <w:spacing w:val="15"/>
        </w:rPr>
        <w:t xml:space="preserve">   </w:t>
      </w:r>
      <w:r>
        <w:rPr>
          <w:rFonts w:ascii="Microsoft YaHei" w:hAnsi="Microsoft YaHei" w:eastAsia="Microsoft YaHei" w:cs="Microsoft YaHei"/>
          <w:sz w:val="43"/>
          <w:szCs w:val="43"/>
          <w:spacing w:val="8"/>
        </w:rPr>
        <w:t>法规速递</w:t>
      </w:r>
    </w:p>
    <w:p>
      <w:pPr>
        <w:pStyle w:val="BodyText"/>
        <w:spacing w:line="351" w:lineRule="auto"/>
        <w:rPr/>
      </w:pPr>
      <w:r/>
    </w:p>
    <w:p>
      <w:pPr>
        <w:pStyle w:val="BodyText"/>
        <w:spacing w:line="352" w:lineRule="auto"/>
        <w:rPr/>
      </w:pPr>
      <w:r/>
    </w:p>
    <w:p>
      <w:pPr>
        <w:ind w:left="661" w:right="1148" w:firstLine="300"/>
        <w:spacing w:before="120" w:line="281" w:lineRule="auto"/>
        <w:outlineLvl w:val="0"/>
        <w:rPr>
          <w:rFonts w:ascii="Microsoft YaHei" w:hAnsi="Microsoft YaHei" w:eastAsia="Microsoft YaHei" w:cs="Microsoft YaHei"/>
          <w:sz w:val="28"/>
          <w:szCs w:val="28"/>
        </w:rPr>
      </w:pPr>
      <w:r>
        <w:rPr>
          <w:rFonts w:ascii="Microsoft YaHei" w:hAnsi="Microsoft YaHei" w:eastAsia="Microsoft YaHei" w:cs="Microsoft YaHei"/>
          <w:sz w:val="28"/>
          <w:szCs w:val="28"/>
          <w:b/>
          <w:bCs/>
          <w:color w:val="0B0B0B"/>
          <w:spacing w:val="-3"/>
        </w:rPr>
        <w:t>1、关于向社会公开征求《资产评估机构从事证券服务业务备案办法 （</w:t>
      </w:r>
      <w:r>
        <w:rPr>
          <w:rFonts w:ascii="Microsoft YaHei" w:hAnsi="Microsoft YaHei" w:eastAsia="Microsoft YaHei" w:cs="Microsoft YaHei"/>
          <w:sz w:val="28"/>
          <w:szCs w:val="28"/>
          <w:b/>
          <w:bCs/>
          <w:color w:val="0B0B0B"/>
          <w:spacing w:val="-4"/>
        </w:rPr>
        <w:t>征求意见</w:t>
      </w:r>
      <w:r>
        <w:rPr>
          <w:rFonts w:ascii="Microsoft YaHei" w:hAnsi="Microsoft YaHei" w:eastAsia="Microsoft YaHei" w:cs="Microsoft YaHei"/>
          <w:sz w:val="28"/>
          <w:szCs w:val="28"/>
          <w:b/>
          <w:bCs/>
          <w:color w:val="0B0B0B"/>
        </w:rPr>
        <w:t xml:space="preserve"> </w:t>
      </w:r>
      <w:r>
        <w:rPr>
          <w:rFonts w:ascii="Microsoft YaHei" w:hAnsi="Microsoft YaHei" w:eastAsia="Microsoft YaHei" w:cs="Microsoft YaHei"/>
          <w:sz w:val="28"/>
          <w:szCs w:val="28"/>
          <w:b/>
          <w:bCs/>
          <w:color w:val="0B0B0B"/>
          <w:spacing w:val="-10"/>
        </w:rPr>
        <w:t>稿） 》意见的通告</w:t>
      </w:r>
    </w:p>
    <w:p>
      <w:pPr>
        <w:pStyle w:val="BodyText"/>
        <w:spacing w:line="426" w:lineRule="auto"/>
        <w:rPr/>
      </w:pPr>
      <w:r/>
    </w:p>
    <w:p>
      <w:pPr>
        <w:ind w:left="662" w:right="416" w:firstLine="485"/>
        <w:spacing w:before="103" w:line="330" w:lineRule="auto"/>
        <w:rPr>
          <w:rFonts w:ascii="Microsoft YaHei" w:hAnsi="Microsoft YaHei" w:eastAsia="Microsoft YaHei" w:cs="Microsoft YaHei"/>
          <w:sz w:val="24"/>
          <w:szCs w:val="24"/>
        </w:rPr>
      </w:pPr>
      <w:r>
        <w:rPr>
          <w:rFonts w:ascii="Microsoft YaHei" w:hAnsi="Microsoft YaHei" w:eastAsia="Microsoft YaHei" w:cs="Microsoft YaHei"/>
          <w:sz w:val="24"/>
          <w:szCs w:val="24"/>
          <w:color w:val="0B0B0B"/>
          <w:spacing w:val="-2"/>
        </w:rPr>
        <w:t>为进一步加强资产评估机构从事证券服务业务监督管理， 规范资产评估机构从事证券服务业务备</w:t>
      </w:r>
      <w:r>
        <w:rPr>
          <w:rFonts w:ascii="Microsoft YaHei" w:hAnsi="Microsoft YaHei" w:eastAsia="Microsoft YaHei" w:cs="Microsoft YaHei"/>
          <w:sz w:val="24"/>
          <w:szCs w:val="24"/>
          <w:color w:val="0B0B0B"/>
          <w:spacing w:val="1"/>
        </w:rPr>
        <w:t xml:space="preserve">   </w:t>
      </w:r>
      <w:r>
        <w:rPr>
          <w:rFonts w:ascii="Microsoft YaHei" w:hAnsi="Microsoft YaHei" w:eastAsia="Microsoft YaHei" w:cs="Microsoft YaHei"/>
          <w:sz w:val="24"/>
          <w:szCs w:val="24"/>
          <w:color w:val="0B0B0B"/>
          <w:spacing w:val="-4"/>
        </w:rPr>
        <w:t>案行为， 财政部会同中国证监会对《资产评估机构从事证券服务业务备案办法》</w:t>
      </w:r>
      <w:r>
        <w:rPr>
          <w:rFonts w:ascii="Microsoft YaHei" w:hAnsi="Microsoft YaHei" w:eastAsia="Microsoft YaHei" w:cs="Microsoft YaHei"/>
          <w:sz w:val="24"/>
          <w:szCs w:val="24"/>
          <w:color w:val="0B0B0B"/>
          <w:spacing w:val="-5"/>
        </w:rPr>
        <w:t xml:space="preserve"> （财资〔</w:t>
      </w:r>
      <w:r>
        <w:rPr>
          <w:rFonts w:ascii="Microsoft YaHei" w:hAnsi="Microsoft YaHei" w:eastAsia="Microsoft YaHei" w:cs="Microsoft YaHei"/>
          <w:sz w:val="24"/>
          <w:szCs w:val="24"/>
          <w:color w:val="0B0B0B"/>
          <w:spacing w:val="-33"/>
        </w:rPr>
        <w:t xml:space="preserve"> </w:t>
      </w:r>
      <w:r>
        <w:rPr>
          <w:rFonts w:ascii="Microsoft YaHei" w:hAnsi="Microsoft YaHei" w:eastAsia="Microsoft YaHei" w:cs="Microsoft YaHei"/>
          <w:sz w:val="24"/>
          <w:szCs w:val="24"/>
          <w:color w:val="0B0B0B"/>
          <w:spacing w:val="-5"/>
        </w:rPr>
        <w:t>2020〕</w:t>
      </w:r>
      <w:r>
        <w:rPr>
          <w:rFonts w:ascii="Microsoft YaHei" w:hAnsi="Microsoft YaHei" w:eastAsia="Microsoft YaHei" w:cs="Microsoft YaHei"/>
          <w:sz w:val="24"/>
          <w:szCs w:val="24"/>
          <w:color w:val="0B0B0B"/>
          <w:spacing w:val="-46"/>
        </w:rPr>
        <w:t xml:space="preserve"> </w:t>
      </w:r>
      <w:r>
        <w:rPr>
          <w:rFonts w:ascii="Microsoft YaHei" w:hAnsi="Microsoft YaHei" w:eastAsia="Microsoft YaHei" w:cs="Microsoft YaHei"/>
          <w:sz w:val="24"/>
          <w:szCs w:val="24"/>
          <w:color w:val="0B0B0B"/>
          <w:spacing w:val="-5"/>
        </w:rPr>
        <w:t>114</w:t>
      </w:r>
      <w:r>
        <w:rPr>
          <w:rFonts w:ascii="Microsoft YaHei" w:hAnsi="Microsoft YaHei" w:eastAsia="Microsoft YaHei" w:cs="Microsoft YaHei"/>
          <w:sz w:val="24"/>
          <w:szCs w:val="24"/>
          <w:color w:val="0B0B0B"/>
        </w:rPr>
        <w:t xml:space="preserve">  </w:t>
      </w:r>
      <w:r>
        <w:rPr>
          <w:rFonts w:ascii="Microsoft YaHei" w:hAnsi="Microsoft YaHei" w:eastAsia="Microsoft YaHei" w:cs="Microsoft YaHei"/>
          <w:sz w:val="24"/>
          <w:szCs w:val="24"/>
          <w:color w:val="0B0B0B"/>
          <w:spacing w:val="-7"/>
        </w:rPr>
        <w:t>号） 进行了修订， 研究起草了《资产评估机构从事证券服务业务备案办</w:t>
      </w:r>
      <w:r>
        <w:rPr>
          <w:rFonts w:ascii="Microsoft YaHei" w:hAnsi="Microsoft YaHei" w:eastAsia="Microsoft YaHei" w:cs="Microsoft YaHei"/>
          <w:sz w:val="24"/>
          <w:szCs w:val="24"/>
          <w:color w:val="0B0B0B"/>
          <w:spacing w:val="-8"/>
        </w:rPr>
        <w:t>法 （征求意见稿） 》， 现面向</w:t>
      </w:r>
      <w:r>
        <w:rPr>
          <w:rFonts w:ascii="Microsoft YaHei" w:hAnsi="Microsoft YaHei" w:eastAsia="Microsoft YaHei" w:cs="Microsoft YaHei"/>
          <w:sz w:val="24"/>
          <w:szCs w:val="24"/>
          <w:color w:val="0B0B0B"/>
        </w:rPr>
        <w:t xml:space="preserve">   </w:t>
      </w:r>
      <w:r>
        <w:rPr>
          <w:rFonts w:ascii="Microsoft YaHei" w:hAnsi="Microsoft YaHei" w:eastAsia="Microsoft YaHei" w:cs="Microsoft YaHei"/>
          <w:sz w:val="24"/>
          <w:szCs w:val="24"/>
          <w:color w:val="0B0B0B"/>
          <w:spacing w:val="-3"/>
        </w:rPr>
        <w:t>社会征求意见。相关单位和个人可以在7月21日前， 通过以下途径和方式提出意见： 1.通过中华人民共</w:t>
      </w:r>
      <w:r>
        <w:rPr>
          <w:rFonts w:ascii="Microsoft YaHei" w:hAnsi="Microsoft YaHei" w:eastAsia="Microsoft YaHei" w:cs="Microsoft YaHei"/>
          <w:sz w:val="24"/>
          <w:szCs w:val="24"/>
          <w:color w:val="0B0B0B"/>
        </w:rPr>
        <w:t xml:space="preserve"> </w:t>
      </w:r>
      <w:r>
        <w:rPr>
          <w:rFonts w:ascii="Microsoft YaHei" w:hAnsi="Microsoft YaHei" w:eastAsia="Microsoft YaHei" w:cs="Microsoft YaHei"/>
          <w:sz w:val="24"/>
          <w:szCs w:val="24"/>
          <w:color w:val="0B0B0B"/>
          <w:spacing w:val="-2"/>
        </w:rPr>
        <w:t>和国财政部官网中“财政法规意见征集信息管理系统” （网</w:t>
      </w:r>
      <w:r>
        <w:rPr>
          <w:rFonts w:ascii="Microsoft YaHei" w:hAnsi="Microsoft YaHei" w:eastAsia="Microsoft YaHei" w:cs="Microsoft YaHei"/>
          <w:sz w:val="24"/>
          <w:szCs w:val="24"/>
          <w:color w:val="0B0B0B"/>
          <w:spacing w:val="-3"/>
        </w:rPr>
        <w:t>址： http://fgk.mof.gov.cn） 提出意见。</w:t>
      </w:r>
      <w:r>
        <w:rPr>
          <w:rFonts w:ascii="Microsoft YaHei" w:hAnsi="Microsoft YaHei" w:eastAsia="Microsoft YaHei" w:cs="Microsoft YaHei"/>
          <w:sz w:val="24"/>
          <w:szCs w:val="24"/>
          <w:color w:val="0B0B0B"/>
        </w:rPr>
        <w:t xml:space="preserve"> </w:t>
      </w:r>
      <w:r>
        <w:rPr>
          <w:rFonts w:ascii="Microsoft YaHei" w:hAnsi="Microsoft YaHei" w:eastAsia="Microsoft YaHei" w:cs="Microsoft YaHei"/>
          <w:sz w:val="24"/>
          <w:szCs w:val="24"/>
          <w:color w:val="0B0B0B"/>
          <w:spacing w:val="-3"/>
        </w:rPr>
        <w:t>2.通过电子邮件形式发送至邮箱： mashan＠</w:t>
      </w:r>
      <w:r>
        <w:rPr>
          <w:rFonts w:ascii="Microsoft YaHei" w:hAnsi="Microsoft YaHei" w:eastAsia="Microsoft YaHei" w:cs="Microsoft YaHei"/>
          <w:sz w:val="24"/>
          <w:szCs w:val="24"/>
          <w:color w:val="0B0B0B"/>
          <w:spacing w:val="-42"/>
        </w:rPr>
        <w:t xml:space="preserve"> </w:t>
      </w:r>
      <w:r>
        <w:rPr>
          <w:rFonts w:ascii="Microsoft YaHei" w:hAnsi="Microsoft YaHei" w:eastAsia="Microsoft YaHei" w:cs="Microsoft YaHei"/>
          <w:sz w:val="24"/>
          <w:szCs w:val="24"/>
          <w:color w:val="0B0B0B"/>
          <w:spacing w:val="-3"/>
        </w:rPr>
        <w:t>csrc.gov.cn， 并请在邮件主题</w:t>
      </w:r>
      <w:r>
        <w:rPr>
          <w:rFonts w:ascii="Microsoft YaHei" w:hAnsi="Microsoft YaHei" w:eastAsia="Microsoft YaHei" w:cs="Microsoft YaHei"/>
          <w:sz w:val="24"/>
          <w:szCs w:val="24"/>
          <w:color w:val="0B0B0B"/>
          <w:spacing w:val="-4"/>
        </w:rPr>
        <w:t>注明“反馈《资产评估机</w:t>
      </w:r>
      <w:r>
        <w:rPr>
          <w:rFonts w:ascii="Microsoft YaHei" w:hAnsi="Microsoft YaHei" w:eastAsia="Microsoft YaHei" w:cs="Microsoft YaHei"/>
          <w:sz w:val="24"/>
          <w:szCs w:val="24"/>
          <w:color w:val="0B0B0B"/>
        </w:rPr>
        <w:t xml:space="preserve">   </w:t>
      </w:r>
      <w:r>
        <w:rPr>
          <w:rFonts w:ascii="Microsoft YaHei" w:hAnsi="Microsoft YaHei" w:eastAsia="Microsoft YaHei" w:cs="Microsoft YaHei"/>
          <w:sz w:val="24"/>
          <w:szCs w:val="24"/>
          <w:color w:val="0B0B0B"/>
          <w:spacing w:val="-2"/>
        </w:rPr>
        <w:t>构从事证券服务业务备案办法》意见”。3.通过信函方式将意见寄至： 北京市西城区三里河南三巷3号</w:t>
      </w:r>
      <w:r>
        <w:rPr>
          <w:rFonts w:ascii="Microsoft YaHei" w:hAnsi="Microsoft YaHei" w:eastAsia="Microsoft YaHei" w:cs="Microsoft YaHei"/>
          <w:sz w:val="24"/>
          <w:szCs w:val="24"/>
          <w:color w:val="0B0B0B"/>
          <w:spacing w:val="18"/>
        </w:rPr>
        <w:t xml:space="preserve"> </w:t>
      </w:r>
      <w:r>
        <w:rPr>
          <w:rFonts w:ascii="Microsoft YaHei" w:hAnsi="Microsoft YaHei" w:eastAsia="Microsoft YaHei" w:cs="Microsoft YaHei"/>
          <w:sz w:val="24"/>
          <w:szCs w:val="24"/>
          <w:color w:val="0B0B0B"/>
          <w:spacing w:val="-4"/>
        </w:rPr>
        <w:t>财政部资产管理司 （邮编： 100820） 或北京市西城区金融</w:t>
      </w:r>
      <w:r>
        <w:rPr>
          <w:rFonts w:ascii="Microsoft YaHei" w:hAnsi="Microsoft YaHei" w:eastAsia="Microsoft YaHei" w:cs="Microsoft YaHei"/>
          <w:sz w:val="24"/>
          <w:szCs w:val="24"/>
          <w:color w:val="0B0B0B"/>
          <w:spacing w:val="-5"/>
        </w:rPr>
        <w:t>大街19号富凯大厦A座中国证监会会计司</w:t>
      </w:r>
    </w:p>
    <w:p>
      <w:pPr>
        <w:ind w:left="662" w:right="482" w:firstLine="39"/>
        <w:spacing w:before="2" w:line="319" w:lineRule="auto"/>
        <w:rPr>
          <w:rFonts w:ascii="Microsoft YaHei" w:hAnsi="Microsoft YaHei" w:eastAsia="Microsoft YaHei" w:cs="Microsoft YaHei"/>
          <w:sz w:val="24"/>
          <w:szCs w:val="24"/>
        </w:rPr>
      </w:pPr>
      <w:r>
        <w:rPr>
          <w:rFonts w:ascii="Microsoft YaHei" w:hAnsi="Microsoft YaHei" w:eastAsia="Microsoft YaHei" w:cs="Microsoft YaHei"/>
          <w:sz w:val="24"/>
          <w:szCs w:val="24"/>
          <w:color w:val="0B0B0B"/>
          <w:spacing w:val="-4"/>
        </w:rPr>
        <w:t>（邮编： 100033</w:t>
      </w:r>
      <w:r>
        <w:rPr>
          <w:rFonts w:ascii="Microsoft YaHei" w:hAnsi="Microsoft YaHei" w:eastAsia="Microsoft YaHei" w:cs="Microsoft YaHei"/>
          <w:sz w:val="24"/>
          <w:szCs w:val="24"/>
          <w:color w:val="0B0B0B"/>
          <w:spacing w:val="-23"/>
        </w:rPr>
        <w:t>），</w:t>
      </w:r>
      <w:r>
        <w:rPr>
          <w:rFonts w:ascii="Microsoft YaHei" w:hAnsi="Microsoft YaHei" w:eastAsia="Microsoft YaHei" w:cs="Microsoft YaHei"/>
          <w:sz w:val="24"/>
          <w:szCs w:val="24"/>
          <w:color w:val="0B0B0B"/>
          <w:spacing w:val="-6"/>
        </w:rPr>
        <w:t xml:space="preserve"> </w:t>
      </w:r>
      <w:r>
        <w:rPr>
          <w:rFonts w:ascii="Microsoft YaHei" w:hAnsi="Microsoft YaHei" w:eastAsia="Microsoft YaHei" w:cs="Microsoft YaHei"/>
          <w:sz w:val="24"/>
          <w:szCs w:val="24"/>
          <w:color w:val="0B0B0B"/>
          <w:spacing w:val="-4"/>
        </w:rPr>
        <w:t>并请在信封上注明“反馈《资产评估机构从事证券服务业务备案办法》意见”。</w:t>
      </w:r>
      <w:r>
        <w:rPr>
          <w:rFonts w:ascii="Microsoft YaHei" w:hAnsi="Microsoft YaHei" w:eastAsia="Microsoft YaHei" w:cs="Microsoft YaHei"/>
          <w:sz w:val="24"/>
          <w:szCs w:val="24"/>
          <w:color w:val="0B0B0B"/>
        </w:rPr>
        <w:t xml:space="preserve"> </w:t>
      </w:r>
      <w:r>
        <w:rPr>
          <w:rFonts w:ascii="Microsoft YaHei" w:hAnsi="Microsoft YaHei" w:eastAsia="Microsoft YaHei" w:cs="Microsoft YaHei"/>
          <w:sz w:val="24"/>
          <w:szCs w:val="24"/>
          <w:color w:val="0B0B0B"/>
          <w:spacing w:val="-5"/>
        </w:rPr>
        <w:t>反馈意见时， 请注明单位名称 （个人请注明姓名） 和联系电话。单位和个人信息仅用于汇总、整理、</w:t>
      </w:r>
      <w:r>
        <w:rPr>
          <w:rFonts w:ascii="Microsoft YaHei" w:hAnsi="Microsoft YaHei" w:eastAsia="Microsoft YaHei" w:cs="Microsoft YaHei"/>
          <w:sz w:val="24"/>
          <w:szCs w:val="24"/>
          <w:color w:val="0B0B0B"/>
          <w:spacing w:val="9"/>
        </w:rPr>
        <w:t xml:space="preserve">  </w:t>
      </w:r>
      <w:r>
        <w:rPr>
          <w:rFonts w:ascii="Microsoft YaHei" w:hAnsi="Microsoft YaHei" w:eastAsia="Microsoft YaHei" w:cs="Microsoft YaHei"/>
          <w:sz w:val="24"/>
          <w:szCs w:val="24"/>
          <w:color w:val="0B0B0B"/>
          <w:spacing w:val="-6"/>
        </w:rPr>
        <w:t>沟通修改意见， 不对外公开。</w:t>
      </w:r>
    </w:p>
    <w:p>
      <w:pPr>
        <w:pStyle w:val="BodyText"/>
        <w:spacing w:line="285" w:lineRule="auto"/>
        <w:rPr/>
      </w:pPr>
      <w:r/>
    </w:p>
    <w:p>
      <w:pPr>
        <w:ind w:left="7965"/>
        <w:spacing w:before="103"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color w:val="0B0B0B"/>
          <w:spacing w:val="-2"/>
        </w:rPr>
        <w:t>财政部办公厅</w:t>
      </w:r>
      <w:r>
        <w:rPr>
          <w:rFonts w:ascii="Microsoft YaHei" w:hAnsi="Microsoft YaHei" w:eastAsia="Microsoft YaHei" w:cs="Microsoft YaHei"/>
          <w:sz w:val="24"/>
          <w:szCs w:val="24"/>
          <w:color w:val="0B0B0B"/>
          <w:spacing w:val="23"/>
        </w:rPr>
        <w:t xml:space="preserve"> </w:t>
      </w:r>
      <w:r>
        <w:rPr>
          <w:rFonts w:ascii="Microsoft YaHei" w:hAnsi="Microsoft YaHei" w:eastAsia="Microsoft YaHei" w:cs="Microsoft YaHei"/>
          <w:sz w:val="24"/>
          <w:szCs w:val="24"/>
          <w:color w:val="0B0B0B"/>
          <w:spacing w:val="-2"/>
        </w:rPr>
        <w:t>中国证监会办公厅</w:t>
      </w:r>
    </w:p>
    <w:p>
      <w:pPr>
        <w:pStyle w:val="BodyText"/>
        <w:spacing w:line="425" w:lineRule="auto"/>
        <w:rPr/>
      </w:pPr>
      <w:r/>
    </w:p>
    <w:p>
      <w:pPr>
        <w:ind w:left="9702"/>
        <w:spacing w:before="103"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color w:val="0B0B0B"/>
          <w:spacing w:val="-2"/>
        </w:rPr>
        <w:t>2024年6月18日</w:t>
      </w:r>
    </w:p>
    <w:p>
      <w:pPr>
        <w:pStyle w:val="BodyText"/>
        <w:spacing w:line="433" w:lineRule="auto"/>
        <w:rPr/>
      </w:pPr>
      <w:r/>
    </w:p>
    <w:p>
      <w:pPr>
        <w:ind w:firstLine="4579"/>
        <w:spacing w:line="2700" w:lineRule="exact"/>
        <w:rPr/>
      </w:pPr>
      <w:r>
        <w:rPr>
          <w:position w:val="-54"/>
        </w:rPr>
        <w:drawing>
          <wp:inline distT="0" distB="0" distL="0" distR="0">
            <wp:extent cx="1714500" cy="1714500"/>
            <wp:effectExtent l="0" t="0" r="0" b="0"/>
            <wp:docPr id="6" name="IM 6"/>
            <wp:cNvGraphicFramePr/>
            <a:graphic>
              <a:graphicData uri="http://schemas.openxmlformats.org/drawingml/2006/picture">
                <pic:pic>
                  <pic:nvPicPr>
                    <pic:cNvPr id="6" name="IM 6"/>
                    <pic:cNvPicPr/>
                  </pic:nvPicPr>
                  <pic:blipFill>
                    <a:blip r:embed="rId4"/>
                    <a:stretch>
                      <a:fillRect/>
                    </a:stretch>
                  </pic:blipFill>
                  <pic:spPr>
                    <a:xfrm rot="0">
                      <a:off x="0" y="0"/>
                      <a:ext cx="1714500" cy="1714500"/>
                    </a:xfrm>
                    <a:prstGeom prst="rect">
                      <a:avLst/>
                    </a:prstGeom>
                  </pic:spPr>
                </pic:pic>
              </a:graphicData>
            </a:graphic>
          </wp:inline>
        </w:drawing>
      </w:r>
    </w:p>
    <w:p>
      <w:pPr>
        <w:pStyle w:val="BodyText"/>
        <w:spacing w:line="269" w:lineRule="auto"/>
        <w:rPr/>
      </w:pPr>
      <w:r/>
    </w:p>
    <w:p>
      <w:pPr>
        <w:pStyle w:val="BodyText"/>
        <w:spacing w:line="269" w:lineRule="auto"/>
        <w:rPr/>
      </w:pPr>
      <w:r/>
    </w:p>
    <w:p>
      <w:pPr>
        <w:pStyle w:val="BodyText"/>
        <w:spacing w:line="270" w:lineRule="auto"/>
        <w:rPr/>
      </w:pPr>
      <w:r/>
    </w:p>
    <w:p>
      <w:pPr>
        <w:ind w:left="1258"/>
        <w:spacing w:before="103"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0B0B0B"/>
          <w:spacing w:val="-3"/>
        </w:rPr>
        <w:t>关于向社会公开征求《资产评估机构从事证券服务业务</w:t>
      </w:r>
      <w:r>
        <w:rPr>
          <w:rFonts w:ascii="Microsoft YaHei" w:hAnsi="Microsoft YaHei" w:eastAsia="Microsoft YaHei" w:cs="Microsoft YaHei"/>
          <w:sz w:val="24"/>
          <w:szCs w:val="24"/>
          <w:b/>
          <w:bCs/>
          <w:color w:val="0B0B0B"/>
          <w:spacing w:val="-4"/>
        </w:rPr>
        <w:t>备案办法 （征求意见稿） 》意见的通告</w:t>
      </w:r>
    </w:p>
    <w:p>
      <w:pPr>
        <w:spacing w:line="225" w:lineRule="auto"/>
        <w:sectPr>
          <w:headerReference w:type="default" r:id="rId2"/>
          <w:pgSz w:w="11910" w:h="16840"/>
          <w:pgMar w:top="1" w:right="134" w:bottom="0" w:left="0" w:header="0" w:footer="0" w:gutter="0"/>
        </w:sectPr>
        <w:rPr>
          <w:rFonts w:ascii="Microsoft YaHei" w:hAnsi="Microsoft YaHei" w:eastAsia="Microsoft YaHei" w:cs="Microsoft YaHei"/>
          <w:sz w:val="24"/>
          <w:szCs w:val="24"/>
        </w:rPr>
      </w:pPr>
    </w:p>
    <w:p>
      <w:pPr>
        <w:rPr>
          <w:rFonts w:ascii="Microsoft YaHei" w:hAnsi="Microsoft YaHei" w:eastAsia="Microsoft YaHei" w:cs="Microsoft YaHei"/>
          <w:sz w:val="43"/>
          <w:szCs w:val="43"/>
        </w:rPr>
      </w:pPr>
      <w:r>
        <w:drawing>
          <wp:anchor distT="0" distB="0" distL="0" distR="0" simplePos="0" relativeHeight="251660288" behindDoc="1" locked="0" layoutInCell="1" allowOverlap="1">
            <wp:simplePos x="0" y="0"/>
            <wp:positionH relativeFrom="column">
              <wp:posOffset>803275</wp:posOffset>
            </wp:positionH>
            <wp:positionV relativeFrom="paragraph">
              <wp:posOffset>580047</wp:posOffset>
            </wp:positionV>
            <wp:extent cx="6674484" cy="34493"/>
            <wp:effectExtent l="0" t="0" r="0" b="0"/>
            <wp:wrapNone/>
            <wp:docPr id="8" name="IM 8"/>
            <wp:cNvGraphicFramePr/>
            <a:graphic>
              <a:graphicData uri="http://schemas.openxmlformats.org/drawingml/2006/picture">
                <pic:pic>
                  <pic:nvPicPr>
                    <pic:cNvPr id="8" name="IM 8"/>
                    <pic:cNvPicPr/>
                  </pic:nvPicPr>
                  <pic:blipFill>
                    <a:blip r:embed="rId5"/>
                    <a:stretch>
                      <a:fillRect/>
                    </a:stretch>
                  </pic:blipFill>
                  <pic:spPr>
                    <a:xfrm rot="0">
                      <a:off x="0" y="0"/>
                      <a:ext cx="6674484" cy="34493"/>
                    </a:xfrm>
                    <a:prstGeom prst="rect">
                      <a:avLst/>
                    </a:prstGeom>
                  </pic:spPr>
                </pic:pic>
              </a:graphicData>
            </a:graphic>
          </wp:anchor>
        </w:drawing>
      </w:r>
      <w:r>
        <w:rPr>
          <w:rFonts w:ascii="Microsoft YaHei" w:hAnsi="Microsoft YaHei" w:eastAsia="Microsoft YaHei" w:cs="Microsoft YaHei"/>
          <w:sz w:val="43"/>
          <w:szCs w:val="43"/>
          <w:position w:val="-39"/>
        </w:rPr>
        <w:drawing>
          <wp:inline distT="0" distB="0" distL="0" distR="0">
            <wp:extent cx="803148" cy="623964"/>
            <wp:effectExtent l="0" t="0" r="0" b="0"/>
            <wp:docPr id="10" name="IM 10"/>
            <wp:cNvGraphicFramePr/>
            <a:graphic>
              <a:graphicData uri="http://schemas.openxmlformats.org/drawingml/2006/picture">
                <pic:pic>
                  <pic:nvPicPr>
                    <pic:cNvPr id="10" name="IM 10"/>
                    <pic:cNvPicPr/>
                  </pic:nvPicPr>
                  <pic:blipFill>
                    <a:blip r:embed="rId6"/>
                    <a:stretch>
                      <a:fillRect/>
                    </a:stretch>
                  </pic:blipFill>
                  <pic:spPr>
                    <a:xfrm rot="0">
                      <a:off x="0" y="0"/>
                      <a:ext cx="803148" cy="623964"/>
                    </a:xfrm>
                    <a:prstGeom prst="rect">
                      <a:avLst/>
                    </a:prstGeom>
                  </pic:spPr>
                </pic:pic>
              </a:graphicData>
            </a:graphic>
          </wp:inline>
        </w:drawing>
      </w:r>
      <w:r>
        <w:rPr>
          <w:rFonts w:ascii="Microsoft YaHei" w:hAnsi="Microsoft YaHei" w:eastAsia="Microsoft YaHei" w:cs="Microsoft YaHei"/>
          <w:sz w:val="43"/>
          <w:szCs w:val="43"/>
          <w:spacing w:val="15"/>
        </w:rPr>
        <w:t xml:space="preserve">   </w:t>
      </w:r>
      <w:r>
        <w:rPr>
          <w:rFonts w:ascii="Microsoft YaHei" w:hAnsi="Microsoft YaHei" w:eastAsia="Microsoft YaHei" w:cs="Microsoft YaHei"/>
          <w:sz w:val="43"/>
          <w:szCs w:val="43"/>
          <w:spacing w:val="8"/>
        </w:rPr>
        <w:t>法规速递</w:t>
      </w:r>
    </w:p>
    <w:p>
      <w:pPr>
        <w:pStyle w:val="BodyText"/>
        <w:spacing w:line="328" w:lineRule="auto"/>
        <w:rPr/>
      </w:pPr>
      <w:r/>
    </w:p>
    <w:p>
      <w:pPr>
        <w:pStyle w:val="BodyText"/>
        <w:spacing w:line="329" w:lineRule="auto"/>
        <w:rPr/>
      </w:pPr>
      <w:r/>
    </w:p>
    <w:p>
      <w:pPr>
        <w:ind w:left="1233"/>
        <w:spacing w:before="120" w:line="184" w:lineRule="auto"/>
        <w:outlineLvl w:val="0"/>
        <w:rPr>
          <w:rFonts w:ascii="Microsoft YaHei" w:hAnsi="Microsoft YaHei" w:eastAsia="Microsoft YaHei" w:cs="Microsoft YaHei"/>
          <w:sz w:val="28"/>
          <w:szCs w:val="28"/>
        </w:rPr>
      </w:pPr>
      <w:r>
        <w:rPr>
          <w:rFonts w:ascii="Microsoft YaHei" w:hAnsi="Microsoft YaHei" w:eastAsia="Microsoft YaHei" w:cs="Microsoft YaHei"/>
          <w:sz w:val="28"/>
          <w:szCs w:val="28"/>
          <w:b/>
          <w:bCs/>
          <w:spacing w:val="-1"/>
        </w:rPr>
        <w:t>2</w:t>
      </w:r>
      <w:r>
        <w:rPr>
          <w:rFonts w:ascii="Microsoft YaHei" w:hAnsi="Microsoft YaHei" w:eastAsia="Microsoft YaHei" w:cs="Microsoft YaHei"/>
          <w:sz w:val="28"/>
          <w:szCs w:val="28"/>
          <w:b/>
          <w:bCs/>
          <w:color w:val="0B0B0B"/>
          <w:spacing w:val="-1"/>
        </w:rPr>
        <w:t>、关于深化科创板改革、服务科技创新和新质生产力发展的八条措施</w:t>
      </w:r>
    </w:p>
    <w:p>
      <w:pPr>
        <w:pStyle w:val="BodyText"/>
        <w:spacing w:line="455" w:lineRule="auto"/>
        <w:rPr/>
      </w:pPr>
      <w:r/>
    </w:p>
    <w:p>
      <w:pPr>
        <w:ind w:left="664" w:right="555" w:firstLine="478"/>
        <w:spacing w:before="103" w:line="332" w:lineRule="auto"/>
        <w:rPr>
          <w:rFonts w:ascii="Microsoft YaHei" w:hAnsi="Microsoft YaHei" w:eastAsia="Microsoft YaHei" w:cs="Microsoft YaHei"/>
          <w:sz w:val="24"/>
          <w:szCs w:val="24"/>
        </w:rPr>
      </w:pPr>
      <w:r>
        <w:rPr>
          <w:rFonts w:ascii="Microsoft YaHei" w:hAnsi="Microsoft YaHei" w:eastAsia="Microsoft YaHei" w:cs="Microsoft YaHei"/>
          <w:sz w:val="24"/>
          <w:szCs w:val="24"/>
          <w:color w:val="0B0B0B"/>
          <w:spacing w:val="-2"/>
        </w:rPr>
        <w:t>在上海证券交易所设立科创板并试点注册制， 是习近平总书记亲自宣布、亲自部署、亲自推动的</w:t>
      </w:r>
      <w:r>
        <w:rPr>
          <w:rFonts w:ascii="Microsoft YaHei" w:hAnsi="Microsoft YaHei" w:eastAsia="Microsoft YaHei" w:cs="Microsoft YaHei"/>
          <w:sz w:val="24"/>
          <w:szCs w:val="24"/>
          <w:color w:val="0B0B0B"/>
          <w:spacing w:val="11"/>
        </w:rPr>
        <w:t xml:space="preserve"> </w:t>
      </w:r>
      <w:r>
        <w:rPr>
          <w:rFonts w:ascii="Microsoft YaHei" w:hAnsi="Microsoft YaHei" w:eastAsia="Microsoft YaHei" w:cs="Microsoft YaHei"/>
          <w:sz w:val="24"/>
          <w:szCs w:val="24"/>
          <w:color w:val="0B0B0B"/>
          <w:spacing w:val="-3"/>
        </w:rPr>
        <w:t>重大改革。经过五年多的努力， 上交所科创板和注册制的效应不断放大</w:t>
      </w:r>
      <w:r>
        <w:rPr>
          <w:rFonts w:ascii="Microsoft YaHei" w:hAnsi="Microsoft YaHei" w:eastAsia="Microsoft YaHei" w:cs="Microsoft YaHei"/>
          <w:sz w:val="24"/>
          <w:szCs w:val="24"/>
          <w:color w:val="0B0B0B"/>
          <w:spacing w:val="-4"/>
        </w:rPr>
        <w:t>， 在支持高水平科技自立自</w:t>
      </w:r>
    </w:p>
    <w:p>
      <w:pPr>
        <w:ind w:left="662" w:right="483" w:firstLine="6"/>
        <w:spacing w:before="4" w:line="318" w:lineRule="auto"/>
        <w:rPr>
          <w:rFonts w:ascii="Microsoft YaHei" w:hAnsi="Microsoft YaHei" w:eastAsia="Microsoft YaHei" w:cs="Microsoft YaHei"/>
          <w:sz w:val="24"/>
          <w:szCs w:val="24"/>
        </w:rPr>
      </w:pPr>
      <w:r>
        <w:rPr>
          <w:rFonts w:ascii="Microsoft YaHei" w:hAnsi="Microsoft YaHei" w:eastAsia="Microsoft YaHei" w:cs="Microsoft YaHei"/>
          <w:sz w:val="24"/>
          <w:szCs w:val="24"/>
          <w:color w:val="0B0B0B"/>
        </w:rPr>
        <w:t>强、促进完善资本市场基础制度等方面发挥着日益重要的作用。为深入贯彻中</w:t>
      </w:r>
      <w:r>
        <w:rPr>
          <w:rFonts w:ascii="Microsoft YaHei" w:hAnsi="Microsoft YaHei" w:eastAsia="Microsoft YaHei" w:cs="Microsoft YaHei"/>
          <w:sz w:val="24"/>
          <w:szCs w:val="24"/>
          <w:color w:val="0B0B0B"/>
          <w:spacing w:val="-1"/>
        </w:rPr>
        <w:t>央金融工作会议精神和</w:t>
      </w:r>
      <w:r>
        <w:rPr>
          <w:rFonts w:ascii="Microsoft YaHei" w:hAnsi="Microsoft YaHei" w:eastAsia="Microsoft YaHei" w:cs="Microsoft YaHei"/>
          <w:sz w:val="24"/>
          <w:szCs w:val="24"/>
          <w:color w:val="0B0B0B"/>
        </w:rPr>
        <w:t xml:space="preserve">  </w:t>
      </w:r>
      <w:r>
        <w:rPr>
          <w:rFonts w:ascii="Microsoft YaHei" w:hAnsi="Microsoft YaHei" w:eastAsia="Microsoft YaHei" w:cs="Microsoft YaHei"/>
          <w:sz w:val="24"/>
          <w:szCs w:val="24"/>
          <w:color w:val="0B0B0B"/>
          <w:spacing w:val="-5"/>
        </w:rPr>
        <w:t>《国务院关于加强监管防范风险推动资本市场高质量发展的若干意见》 （国</w:t>
      </w:r>
      <w:r>
        <w:rPr>
          <w:rFonts w:ascii="Microsoft YaHei" w:hAnsi="Microsoft YaHei" w:eastAsia="Microsoft YaHei" w:cs="Microsoft YaHei"/>
          <w:sz w:val="24"/>
          <w:szCs w:val="24"/>
          <w:color w:val="0B0B0B"/>
          <w:spacing w:val="-6"/>
        </w:rPr>
        <w:t>发〔</w:t>
      </w:r>
      <w:r>
        <w:rPr>
          <w:rFonts w:ascii="Microsoft YaHei" w:hAnsi="Microsoft YaHei" w:eastAsia="Microsoft YaHei" w:cs="Microsoft YaHei"/>
          <w:sz w:val="24"/>
          <w:szCs w:val="24"/>
          <w:color w:val="0B0B0B"/>
          <w:spacing w:val="-34"/>
        </w:rPr>
        <w:t xml:space="preserve"> </w:t>
      </w:r>
      <w:r>
        <w:rPr>
          <w:rFonts w:ascii="Microsoft YaHei" w:hAnsi="Microsoft YaHei" w:eastAsia="Microsoft YaHei" w:cs="Microsoft YaHei"/>
          <w:sz w:val="24"/>
          <w:szCs w:val="24"/>
          <w:color w:val="0B0B0B"/>
          <w:spacing w:val="-6"/>
        </w:rPr>
        <w:t>2024〕</w:t>
      </w:r>
      <w:r>
        <w:rPr>
          <w:rFonts w:ascii="Microsoft YaHei" w:hAnsi="Microsoft YaHei" w:eastAsia="Microsoft YaHei" w:cs="Microsoft YaHei"/>
          <w:sz w:val="24"/>
          <w:szCs w:val="24"/>
          <w:color w:val="0B0B0B"/>
          <w:spacing w:val="-46"/>
        </w:rPr>
        <w:t xml:space="preserve"> </w:t>
      </w:r>
      <w:r>
        <w:rPr>
          <w:rFonts w:ascii="Microsoft YaHei" w:hAnsi="Microsoft YaHei" w:eastAsia="Microsoft YaHei" w:cs="Microsoft YaHei"/>
          <w:sz w:val="24"/>
          <w:szCs w:val="24"/>
          <w:color w:val="0B0B0B"/>
          <w:spacing w:val="-6"/>
        </w:rPr>
        <w:t>10号） 部署，</w:t>
      </w:r>
      <w:r>
        <w:rPr>
          <w:rFonts w:ascii="Microsoft YaHei" w:hAnsi="Microsoft YaHei" w:eastAsia="Microsoft YaHei" w:cs="Microsoft YaHei"/>
          <w:sz w:val="24"/>
          <w:szCs w:val="24"/>
          <w:color w:val="0B0B0B"/>
        </w:rPr>
        <w:t xml:space="preserve"> </w:t>
      </w:r>
      <w:r>
        <w:rPr>
          <w:rFonts w:ascii="Microsoft YaHei" w:hAnsi="Microsoft YaHei" w:eastAsia="Microsoft YaHei" w:cs="Microsoft YaHei"/>
          <w:sz w:val="24"/>
          <w:szCs w:val="24"/>
          <w:color w:val="0B0B0B"/>
          <w:spacing w:val="-5"/>
        </w:rPr>
        <w:t>完善资本市场“</w:t>
      </w:r>
      <w:r>
        <w:rPr>
          <w:rFonts w:ascii="Microsoft YaHei" w:hAnsi="Microsoft YaHei" w:eastAsia="Microsoft YaHei" w:cs="Microsoft YaHei"/>
          <w:sz w:val="24"/>
          <w:szCs w:val="24"/>
          <w:color w:val="0B0B0B"/>
          <w:spacing w:val="-46"/>
        </w:rPr>
        <w:t xml:space="preserve"> </w:t>
      </w:r>
      <w:r>
        <w:rPr>
          <w:rFonts w:ascii="Microsoft YaHei" w:hAnsi="Microsoft YaHei" w:eastAsia="Microsoft YaHei" w:cs="Microsoft YaHei"/>
          <w:sz w:val="24"/>
          <w:szCs w:val="24"/>
          <w:color w:val="0B0B0B"/>
          <w:spacing w:val="-5"/>
        </w:rPr>
        <w:t>1</w:t>
      </w:r>
      <w:r>
        <w:rPr>
          <w:rFonts w:ascii="Microsoft YaHei" w:hAnsi="Microsoft YaHei" w:eastAsia="Microsoft YaHei" w:cs="Microsoft YaHei"/>
          <w:sz w:val="24"/>
          <w:szCs w:val="24"/>
          <w:color w:val="0B0B0B"/>
          <w:spacing w:val="-41"/>
        </w:rPr>
        <w:t xml:space="preserve"> </w:t>
      </w:r>
      <w:r>
        <w:rPr>
          <w:rFonts w:ascii="Microsoft YaHei" w:hAnsi="Microsoft YaHei" w:eastAsia="Microsoft YaHei" w:cs="Microsoft YaHei"/>
          <w:sz w:val="24"/>
          <w:szCs w:val="24"/>
          <w:color w:val="0B0B0B"/>
          <w:spacing w:val="-5"/>
        </w:rPr>
        <w:t>+N”政策体系， 进一</w:t>
      </w:r>
      <w:r>
        <w:rPr>
          <w:rFonts w:ascii="Microsoft YaHei" w:hAnsi="Microsoft YaHei" w:eastAsia="Microsoft YaHei" w:cs="Microsoft YaHei"/>
          <w:sz w:val="24"/>
          <w:szCs w:val="24"/>
          <w:color w:val="0B0B0B"/>
          <w:spacing w:val="-6"/>
        </w:rPr>
        <w:t>步全面深化资本市场改革， 推动股票发行注册制走深走实， 积</w:t>
      </w:r>
    </w:p>
    <w:p>
      <w:pPr>
        <w:ind w:left="664" w:right="608" w:hanging="1"/>
        <w:spacing w:before="73" w:line="437" w:lineRule="auto"/>
        <w:rPr>
          <w:rFonts w:ascii="Microsoft YaHei" w:hAnsi="Microsoft YaHei" w:eastAsia="Microsoft YaHei" w:cs="Microsoft YaHei"/>
          <w:sz w:val="24"/>
          <w:szCs w:val="24"/>
        </w:rPr>
      </w:pPr>
      <w:r>
        <w:rPr>
          <w:rFonts w:ascii="Microsoft YaHei" w:hAnsi="Microsoft YaHei" w:eastAsia="Microsoft YaHei" w:cs="Microsoft YaHei"/>
          <w:sz w:val="24"/>
          <w:szCs w:val="24"/>
          <w:color w:val="0B0B0B"/>
          <w:spacing w:val="-4"/>
        </w:rPr>
        <w:t>极发挥科创板“试验田”作用， 促进新质生产力发展， 支持上海加</w:t>
      </w:r>
      <w:r>
        <w:rPr>
          <w:rFonts w:ascii="Microsoft YaHei" w:hAnsi="Microsoft YaHei" w:eastAsia="Microsoft YaHei" w:cs="Microsoft YaHei"/>
          <w:sz w:val="24"/>
          <w:szCs w:val="24"/>
          <w:color w:val="0B0B0B"/>
          <w:spacing w:val="-5"/>
        </w:rPr>
        <w:t>快“五个中心”建设等国家战略，</w:t>
      </w:r>
      <w:r>
        <w:rPr>
          <w:rFonts w:ascii="Microsoft YaHei" w:hAnsi="Microsoft YaHei" w:eastAsia="Microsoft YaHei" w:cs="Microsoft YaHei"/>
          <w:sz w:val="24"/>
          <w:szCs w:val="24"/>
          <w:color w:val="0B0B0B"/>
        </w:rPr>
        <w:t xml:space="preserve"> </w:t>
      </w:r>
      <w:r>
        <w:rPr>
          <w:rFonts w:ascii="Microsoft YaHei" w:hAnsi="Microsoft YaHei" w:eastAsia="Microsoft YaHei" w:cs="Microsoft YaHei"/>
          <w:sz w:val="24"/>
          <w:szCs w:val="24"/>
          <w:color w:val="0B0B0B"/>
          <w:spacing w:val="-4"/>
        </w:rPr>
        <w:t>服务中国式现代化大局， 现提出八条措施。</w:t>
      </w:r>
    </w:p>
    <w:p>
      <w:pPr>
        <w:ind w:firstLine="4915"/>
        <w:spacing w:before="2" w:line="2700" w:lineRule="exact"/>
        <w:rPr/>
      </w:pPr>
      <w:r>
        <w:rPr>
          <w:position w:val="-54"/>
        </w:rPr>
        <w:drawing>
          <wp:inline distT="0" distB="0" distL="0" distR="0">
            <wp:extent cx="1714500" cy="1714500"/>
            <wp:effectExtent l="0" t="0" r="0" b="0"/>
            <wp:docPr id="12" name="IM 12"/>
            <wp:cNvGraphicFramePr/>
            <a:graphic>
              <a:graphicData uri="http://schemas.openxmlformats.org/drawingml/2006/picture">
                <pic:pic>
                  <pic:nvPicPr>
                    <pic:cNvPr id="12" name="IM 12"/>
                    <pic:cNvPicPr/>
                  </pic:nvPicPr>
                  <pic:blipFill>
                    <a:blip r:embed="rId7"/>
                    <a:stretch>
                      <a:fillRect/>
                    </a:stretch>
                  </pic:blipFill>
                  <pic:spPr>
                    <a:xfrm rot="0">
                      <a:off x="0" y="0"/>
                      <a:ext cx="1714500" cy="1714500"/>
                    </a:xfrm>
                    <a:prstGeom prst="rect">
                      <a:avLst/>
                    </a:prstGeom>
                  </pic:spPr>
                </pic:pic>
              </a:graphicData>
            </a:graphic>
          </wp:inline>
        </w:drawing>
      </w:r>
    </w:p>
    <w:p>
      <w:pPr>
        <w:pStyle w:val="BodyText"/>
        <w:spacing w:line="282" w:lineRule="auto"/>
        <w:rPr/>
      </w:pPr>
      <w:r/>
    </w:p>
    <w:p>
      <w:pPr>
        <w:pStyle w:val="BodyText"/>
        <w:spacing w:line="283" w:lineRule="auto"/>
        <w:rPr/>
      </w:pPr>
      <w:r/>
    </w:p>
    <w:p>
      <w:pPr>
        <w:pStyle w:val="BodyText"/>
        <w:spacing w:line="283" w:lineRule="auto"/>
        <w:rPr/>
      </w:pPr>
      <w:r/>
    </w:p>
    <w:p>
      <w:pPr>
        <w:ind w:left="2770"/>
        <w:spacing w:before="103"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0B0B0B"/>
        </w:rPr>
        <w:t>关于深化科创板改革、服务科技创新和新质生产力发展</w:t>
      </w:r>
      <w:r>
        <w:rPr>
          <w:rFonts w:ascii="Microsoft YaHei" w:hAnsi="Microsoft YaHei" w:eastAsia="Microsoft YaHei" w:cs="Microsoft YaHei"/>
          <w:sz w:val="24"/>
          <w:szCs w:val="24"/>
          <w:b/>
          <w:bCs/>
          <w:color w:val="0B0B0B"/>
          <w:spacing w:val="-1"/>
        </w:rPr>
        <w:t>的八条措施</w:t>
      </w:r>
    </w:p>
    <w:p>
      <w:pPr>
        <w:spacing w:line="183" w:lineRule="auto"/>
        <w:sectPr>
          <w:pgSz w:w="11910" w:h="16840"/>
          <w:pgMar w:top="1" w:right="134" w:bottom="0" w:left="0" w:header="0" w:footer="0" w:gutter="0"/>
        </w:sectPr>
        <w:rPr>
          <w:rFonts w:ascii="Microsoft YaHei" w:hAnsi="Microsoft YaHei" w:eastAsia="Microsoft YaHei" w:cs="Microsoft YaHei"/>
          <w:sz w:val="24"/>
          <w:szCs w:val="24"/>
        </w:rPr>
      </w:pPr>
    </w:p>
    <w:p>
      <w:pPr>
        <w:rPr>
          <w:rFonts w:ascii="Microsoft YaHei" w:hAnsi="Microsoft YaHei" w:eastAsia="Microsoft YaHei" w:cs="Microsoft YaHei"/>
          <w:sz w:val="43"/>
          <w:szCs w:val="43"/>
        </w:rPr>
      </w:pPr>
      <w:r>
        <w:drawing>
          <wp:anchor distT="0" distB="0" distL="0" distR="0" simplePos="0" relativeHeight="251662336" behindDoc="1" locked="0" layoutInCell="1" allowOverlap="1">
            <wp:simplePos x="0" y="0"/>
            <wp:positionH relativeFrom="column">
              <wp:posOffset>803275</wp:posOffset>
            </wp:positionH>
            <wp:positionV relativeFrom="paragraph">
              <wp:posOffset>580047</wp:posOffset>
            </wp:positionV>
            <wp:extent cx="6674484" cy="34493"/>
            <wp:effectExtent l="0" t="0" r="0" b="0"/>
            <wp:wrapNone/>
            <wp:docPr id="14" name="IM 14"/>
            <wp:cNvGraphicFramePr/>
            <a:graphic>
              <a:graphicData uri="http://schemas.openxmlformats.org/drawingml/2006/picture">
                <pic:pic>
                  <pic:nvPicPr>
                    <pic:cNvPr id="14" name="IM 14"/>
                    <pic:cNvPicPr/>
                  </pic:nvPicPr>
                  <pic:blipFill>
                    <a:blip r:embed="rId8"/>
                    <a:stretch>
                      <a:fillRect/>
                    </a:stretch>
                  </pic:blipFill>
                  <pic:spPr>
                    <a:xfrm rot="0">
                      <a:off x="0" y="0"/>
                      <a:ext cx="6674484" cy="34493"/>
                    </a:xfrm>
                    <a:prstGeom prst="rect">
                      <a:avLst/>
                    </a:prstGeom>
                  </pic:spPr>
                </pic:pic>
              </a:graphicData>
            </a:graphic>
          </wp:anchor>
        </w:drawing>
      </w:r>
      <w:r>
        <w:rPr>
          <w:rFonts w:ascii="Microsoft YaHei" w:hAnsi="Microsoft YaHei" w:eastAsia="Microsoft YaHei" w:cs="Microsoft YaHei"/>
          <w:sz w:val="43"/>
          <w:szCs w:val="43"/>
          <w:position w:val="-39"/>
        </w:rPr>
        <w:drawing>
          <wp:inline distT="0" distB="0" distL="0" distR="0">
            <wp:extent cx="803148" cy="623964"/>
            <wp:effectExtent l="0" t="0" r="0" b="0"/>
            <wp:docPr id="16" name="IM 16"/>
            <wp:cNvGraphicFramePr/>
            <a:graphic>
              <a:graphicData uri="http://schemas.openxmlformats.org/drawingml/2006/picture">
                <pic:pic>
                  <pic:nvPicPr>
                    <pic:cNvPr id="16" name="IM 16"/>
                    <pic:cNvPicPr/>
                  </pic:nvPicPr>
                  <pic:blipFill>
                    <a:blip r:embed="rId9"/>
                    <a:stretch>
                      <a:fillRect/>
                    </a:stretch>
                  </pic:blipFill>
                  <pic:spPr>
                    <a:xfrm rot="0">
                      <a:off x="0" y="0"/>
                      <a:ext cx="803148" cy="623964"/>
                    </a:xfrm>
                    <a:prstGeom prst="rect">
                      <a:avLst/>
                    </a:prstGeom>
                  </pic:spPr>
                </pic:pic>
              </a:graphicData>
            </a:graphic>
          </wp:inline>
        </w:drawing>
      </w:r>
      <w:r>
        <w:rPr>
          <w:rFonts w:ascii="Microsoft YaHei" w:hAnsi="Microsoft YaHei" w:eastAsia="Microsoft YaHei" w:cs="Microsoft YaHei"/>
          <w:sz w:val="43"/>
          <w:szCs w:val="43"/>
          <w:spacing w:val="15"/>
        </w:rPr>
        <w:t xml:space="preserve">   </w:t>
      </w:r>
      <w:r>
        <w:rPr>
          <w:rFonts w:ascii="Microsoft YaHei" w:hAnsi="Microsoft YaHei" w:eastAsia="Microsoft YaHei" w:cs="Microsoft YaHei"/>
          <w:sz w:val="43"/>
          <w:szCs w:val="43"/>
          <w:spacing w:val="8"/>
        </w:rPr>
        <w:t>法规速递</w:t>
      </w:r>
    </w:p>
    <w:p>
      <w:pPr>
        <w:pStyle w:val="BodyText"/>
        <w:spacing w:line="329" w:lineRule="auto"/>
        <w:rPr/>
      </w:pPr>
      <w:r/>
    </w:p>
    <w:p>
      <w:pPr>
        <w:pStyle w:val="BodyText"/>
        <w:spacing w:line="329" w:lineRule="auto"/>
        <w:rPr/>
      </w:pPr>
      <w:r/>
    </w:p>
    <w:p>
      <w:pPr>
        <w:ind w:left="698" w:right="647" w:firstLine="542"/>
        <w:spacing w:before="120" w:line="266" w:lineRule="auto"/>
        <w:outlineLvl w:val="0"/>
        <w:rPr>
          <w:rFonts w:ascii="Microsoft YaHei" w:hAnsi="Microsoft YaHei" w:eastAsia="Microsoft YaHei" w:cs="Microsoft YaHei"/>
          <w:sz w:val="28"/>
          <w:szCs w:val="28"/>
        </w:rPr>
      </w:pPr>
      <w:r>
        <w:rPr>
          <w:rFonts w:ascii="Microsoft YaHei" w:hAnsi="Microsoft YaHei" w:eastAsia="Microsoft YaHei" w:cs="Microsoft YaHei"/>
          <w:sz w:val="28"/>
          <w:szCs w:val="28"/>
          <w:b/>
          <w:bCs/>
          <w:spacing w:val="-1"/>
        </w:rPr>
        <w:t>3</w:t>
      </w:r>
      <w:r>
        <w:rPr>
          <w:rFonts w:ascii="Microsoft YaHei" w:hAnsi="Microsoft YaHei" w:eastAsia="Microsoft YaHei" w:cs="Microsoft YaHei"/>
          <w:sz w:val="28"/>
          <w:szCs w:val="28"/>
          <w:b/>
          <w:bCs/>
          <w:color w:val="0B0B0B"/>
          <w:spacing w:val="-1"/>
        </w:rPr>
        <w:t>、公开发行证券的公司信息披露编报规则第4号——保险公司信息披露特别规定</w:t>
      </w:r>
      <w:r>
        <w:rPr>
          <w:rFonts w:ascii="Microsoft YaHei" w:hAnsi="Microsoft YaHei" w:eastAsia="Microsoft YaHei" w:cs="Microsoft YaHei"/>
          <w:sz w:val="28"/>
          <w:szCs w:val="28"/>
          <w:b/>
          <w:bCs/>
          <w:color w:val="0B0B0B"/>
          <w:spacing w:val="12"/>
        </w:rPr>
        <w:t xml:space="preserve"> </w:t>
      </w:r>
      <w:r>
        <w:rPr>
          <w:rFonts w:ascii="Microsoft YaHei" w:hAnsi="Microsoft YaHei" w:eastAsia="Microsoft YaHei" w:cs="Microsoft YaHei"/>
          <w:sz w:val="28"/>
          <w:szCs w:val="28"/>
          <w:b/>
          <w:bCs/>
          <w:color w:val="0B0B0B"/>
          <w:spacing w:val="-5"/>
        </w:rPr>
        <w:t>（2024年修订）</w:t>
      </w:r>
    </w:p>
    <w:p>
      <w:pPr>
        <w:pStyle w:val="BodyText"/>
        <w:spacing w:line="386" w:lineRule="auto"/>
        <w:rPr/>
      </w:pPr>
      <w:r/>
    </w:p>
    <w:p>
      <w:pPr>
        <w:ind w:left="663" w:right="455" w:firstLine="480"/>
        <w:spacing w:before="103" w:line="32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color w:val="0B0B0B"/>
        </w:rPr>
        <w:t>现公布《公开发行证券的公司信息披露编报规则第4号——保险公司信息披露特别规定(</w:t>
      </w:r>
      <w:r>
        <w:rPr>
          <w:rFonts w:ascii="Microsoft YaHei" w:hAnsi="Microsoft YaHei" w:eastAsia="Microsoft YaHei" w:cs="Microsoft YaHei"/>
          <w:sz w:val="24"/>
          <w:szCs w:val="24"/>
          <w:color w:val="0B0B0B"/>
          <w:spacing w:val="-1"/>
        </w:rPr>
        <w:t>2024年修</w:t>
      </w:r>
      <w:r>
        <w:rPr>
          <w:rFonts w:ascii="Microsoft YaHei" w:hAnsi="Microsoft YaHei" w:eastAsia="Microsoft YaHei" w:cs="Microsoft YaHei"/>
          <w:sz w:val="24"/>
          <w:szCs w:val="24"/>
          <w:color w:val="0B0B0B"/>
        </w:rPr>
        <w:t xml:space="preserve"> </w:t>
      </w:r>
      <w:r>
        <w:rPr>
          <w:rFonts w:ascii="Microsoft YaHei" w:hAnsi="Microsoft YaHei" w:eastAsia="Microsoft YaHei" w:cs="Microsoft YaHei"/>
          <w:sz w:val="24"/>
          <w:szCs w:val="24"/>
          <w:color w:val="0B0B0B"/>
          <w:spacing w:val="-8"/>
        </w:rPr>
        <w:t>订)》，</w:t>
      </w:r>
      <w:r>
        <w:rPr>
          <w:rFonts w:ascii="Microsoft YaHei" w:hAnsi="Microsoft YaHei" w:eastAsia="Microsoft YaHei" w:cs="Microsoft YaHei"/>
          <w:sz w:val="24"/>
          <w:szCs w:val="24"/>
          <w:color w:val="0B0B0B"/>
          <w:spacing w:val="27"/>
          <w:w w:val="101"/>
        </w:rPr>
        <w:t xml:space="preserve"> </w:t>
      </w:r>
      <w:r>
        <w:rPr>
          <w:rFonts w:ascii="Microsoft YaHei" w:hAnsi="Microsoft YaHei" w:eastAsia="Microsoft YaHei" w:cs="Microsoft YaHei"/>
          <w:sz w:val="24"/>
          <w:szCs w:val="24"/>
          <w:color w:val="0B0B0B"/>
          <w:spacing w:val="-8"/>
        </w:rPr>
        <w:t>自公布之日起施行。</w:t>
      </w:r>
    </w:p>
    <w:p>
      <w:pPr>
        <w:pStyle w:val="BodyText"/>
        <w:spacing w:line="250" w:lineRule="auto"/>
        <w:rPr/>
      </w:pPr>
      <w:r/>
    </w:p>
    <w:p>
      <w:pPr>
        <w:ind w:left="10212"/>
        <w:spacing w:before="103"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color w:val="0B0B0B"/>
          <w:spacing w:val="-4"/>
        </w:rPr>
        <w:t>中国证监会</w:t>
      </w:r>
    </w:p>
    <w:p>
      <w:pPr>
        <w:pStyle w:val="BodyText"/>
        <w:spacing w:line="427" w:lineRule="auto"/>
        <w:rPr/>
      </w:pPr>
      <w:r/>
    </w:p>
    <w:p>
      <w:pPr>
        <w:ind w:left="9702"/>
        <w:spacing w:before="103"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color w:val="0B0B0B"/>
          <w:spacing w:val="-2"/>
        </w:rPr>
        <w:t>2024年6月21日</w:t>
      </w:r>
    </w:p>
    <w:p>
      <w:pPr>
        <w:pStyle w:val="BodyText"/>
        <w:spacing w:line="431" w:lineRule="auto"/>
        <w:rPr/>
      </w:pPr>
      <w:r/>
    </w:p>
    <w:p>
      <w:pPr>
        <w:ind w:firstLine="4915"/>
        <w:spacing w:line="2700" w:lineRule="exact"/>
        <w:rPr/>
      </w:pPr>
      <w:r>
        <w:rPr>
          <w:position w:val="-54"/>
        </w:rPr>
        <w:drawing>
          <wp:inline distT="0" distB="0" distL="0" distR="0">
            <wp:extent cx="1714500" cy="1714500"/>
            <wp:effectExtent l="0" t="0" r="0" b="0"/>
            <wp:docPr id="18" name="IM 18"/>
            <wp:cNvGraphicFramePr/>
            <a:graphic>
              <a:graphicData uri="http://schemas.openxmlformats.org/drawingml/2006/picture">
                <pic:pic>
                  <pic:nvPicPr>
                    <pic:cNvPr id="18" name="IM 18"/>
                    <pic:cNvPicPr/>
                  </pic:nvPicPr>
                  <pic:blipFill>
                    <a:blip r:embed="rId10"/>
                    <a:stretch>
                      <a:fillRect/>
                    </a:stretch>
                  </pic:blipFill>
                  <pic:spPr>
                    <a:xfrm rot="0">
                      <a:off x="0" y="0"/>
                      <a:ext cx="1714500" cy="1714500"/>
                    </a:xfrm>
                    <a:prstGeom prst="rect">
                      <a:avLst/>
                    </a:prstGeom>
                  </pic:spPr>
                </pic:pic>
              </a:graphicData>
            </a:graphic>
          </wp:inline>
        </w:drawing>
      </w:r>
    </w:p>
    <w:p>
      <w:pPr>
        <w:pStyle w:val="BodyText"/>
        <w:spacing w:line="266" w:lineRule="auto"/>
        <w:rPr/>
      </w:pPr>
      <w:r/>
    </w:p>
    <w:p>
      <w:pPr>
        <w:pStyle w:val="BodyText"/>
        <w:spacing w:line="266" w:lineRule="auto"/>
        <w:rPr/>
      </w:pPr>
      <w:r/>
    </w:p>
    <w:p>
      <w:pPr>
        <w:pStyle w:val="BodyText"/>
        <w:spacing w:line="266" w:lineRule="auto"/>
        <w:rPr/>
      </w:pPr>
      <w:r/>
    </w:p>
    <w:p>
      <w:pPr>
        <w:ind w:left="1303"/>
        <w:spacing w:before="103"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0B0B0B"/>
          <w:spacing w:val="-2"/>
        </w:rPr>
        <w:t>公开发行证券的公司信息披露编报规则第4号——保险公司信息披露特别规定 （2024年修订）</w:t>
      </w:r>
    </w:p>
    <w:p>
      <w:pPr>
        <w:spacing w:line="225" w:lineRule="auto"/>
        <w:sectPr>
          <w:pgSz w:w="11910" w:h="16840"/>
          <w:pgMar w:top="1" w:right="134" w:bottom="0" w:left="0" w:header="0" w:footer="0" w:gutter="0"/>
        </w:sectPr>
        <w:rPr>
          <w:rFonts w:ascii="Microsoft YaHei" w:hAnsi="Microsoft YaHei" w:eastAsia="Microsoft YaHei" w:cs="Microsoft YaHei"/>
          <w:sz w:val="24"/>
          <w:szCs w:val="24"/>
        </w:rPr>
      </w:pPr>
    </w:p>
    <w:p>
      <w:pPr>
        <w:ind w:firstLine="26"/>
        <w:spacing w:line="1137" w:lineRule="exact"/>
        <w:rPr/>
      </w:pPr>
      <w:r>
        <w:rPr>
          <w:position w:val="-22"/>
        </w:rPr>
        <w:pict>
          <v:group id="_x0000_s6" style="mso-position-vertical-relative:line;mso-position-horizontal-relative:char;width:67.85pt;height:56.9pt;" filled="false" stroked="false" coordsize="1356,1138" coordorigin="0,0">
            <v:shape id="_x0000_s8" style="position:absolute;left:0;top:0;width:1356;height:1138;" fillcolor="#A61C1F" filled="true" stroked="false" coordsize="1356,1138" coordorigin="0,0" path="m,l1356,0l1356,1137l0,1137l0,0xe"/>
            <v:shape id="_x0000_s10" style="position:absolute;left:236;top:112;width:819;height:913;" fillcolor="#FFFFFF" filled="true" stroked="false" coordsize="819,913" coordorigin="0,0" path="m595,777l223,777l213,770l213,730l223,725l595,725l605,730l605,770l595,777xm582,708l237,708l225,699l225,688l213,635l181,584l136,533l88,480l44,424l12,362l0,298l0,290l5,238l22,188l50,144l84,105l127,73l176,47l231,25l287,10l347,3l409,0l470,3l530,10l587,25l641,47l690,73l733,105l736,109l366,109l359,117l359,125l355,149l353,152l233,152l201,175l189,185l177,195l172,200l172,209l177,215l207,243l209,245l209,249l202,259l196,269l191,280l185,290l185,292l183,292l181,294l171,294l124,298l116,303l116,370l124,375l136,377l181,382l183,382l185,383l185,385l191,395l196,405l202,415l209,425l209,429l201,438l192,445l177,460l172,465l172,474l177,480l225,517l233,522l353,522l356,539l359,549l359,559l366,565l648,565l637,578l605,630l592,688l592,699l582,708xm525,183l523,182l497,172l483,168l469,165l467,165l467,163l465,160l465,149l461,137l461,125l459,117l451,109l736,109l768,144l773,152l586,152l575,154l566,158l530,182l528,182l525,183xm293,183l291,182l289,182l281,175l271,170l261,164l251,158l243,154l233,152l353,152l352,160l352,163l350,165l349,165l335,168l321,172l307,177l294,182l293,183xm686,522l586,522l647,474l645,465l640,460l625,445l617,438l608,429l608,428l610,425l616,415l621,405l627,395l632,385l632,383l635,382l638,382l683,377l693,375l703,370l703,303l693,298l683,297l648,294l638,294l635,292l632,292l632,290l627,280l621,269l616,259l610,249l608,248l608,245l610,243l640,215l645,209l647,200l640,195l628,185l616,175l592,158l586,152l773,152l795,188l812,238l818,290l818,298l805,362l773,422l729,475l686,522xm410,448l355,439l308,415l278,380l267,337l278,295l308,260l355,235l410,228l465,235l509,260l539,295l550,337l539,380l509,415l465,439l410,448xm353,522l243,522l251,515l261,510l271,505l281,500l289,494l291,492l294,492l307,498l321,503l335,505l349,509l352,512l352,515l353,522xm648,565l451,565l459,559l461,549l461,539l465,525l465,514l467,512l467,510l469,509l497,503l510,498l523,492l528,492l530,494l539,500l548,505l557,510l566,515l575,522l686,522l681,527l648,565xm560,912l257,912l247,905l247,865l257,859l560,859l570,865l570,905l560,912xm582,845l235,845l227,839l227,797l235,790l582,790l592,797l592,839l582,845e"/>
          </v:group>
        </w:pict>
      </w:r>
    </w:p>
    <w:p>
      <w:pPr>
        <w:pStyle w:val="BodyText"/>
        <w:spacing w:line="14" w:lineRule="auto"/>
        <w:rPr>
          <w:sz w:val="2"/>
        </w:rPr>
      </w:pPr>
      <w:r>
        <w:rPr>
          <w:sz w:val="2"/>
          <w:szCs w:val="2"/>
        </w:rPr>
        <w:br w:type="column"/>
      </w:r>
    </w:p>
    <w:p>
      <w:pPr>
        <w:spacing w:before="302" w:line="186" w:lineRule="auto"/>
        <w:rPr>
          <w:rFonts w:ascii="Microsoft YaHei" w:hAnsi="Microsoft YaHei" w:eastAsia="Microsoft YaHei" w:cs="Microsoft YaHei"/>
          <w:sz w:val="43"/>
          <w:szCs w:val="43"/>
        </w:rPr>
      </w:pPr>
      <w:r>
        <w:rPr>
          <w:rFonts w:ascii="Microsoft YaHei" w:hAnsi="Microsoft YaHei" w:eastAsia="Microsoft YaHei" w:cs="Microsoft YaHei"/>
          <w:sz w:val="43"/>
          <w:szCs w:val="43"/>
          <w:spacing w:val="7"/>
        </w:rPr>
        <w:t>监管动态</w:t>
      </w:r>
    </w:p>
    <w:p>
      <w:pPr>
        <w:spacing w:line="186" w:lineRule="auto"/>
        <w:sectPr>
          <w:pgSz w:w="11910" w:h="16840"/>
          <w:pgMar w:top="343" w:right="48" w:bottom="0" w:left="0" w:header="0" w:footer="0" w:gutter="0"/>
          <w:cols w:equalWidth="0" w:num="2">
            <w:col w:w="1580" w:space="100"/>
            <w:col w:w="10183" w:space="0"/>
          </w:cols>
        </w:sectPr>
        <w:rPr>
          <w:rFonts w:ascii="Microsoft YaHei" w:hAnsi="Microsoft YaHei" w:eastAsia="Microsoft YaHei" w:cs="Microsoft YaHei"/>
          <w:sz w:val="43"/>
          <w:szCs w:val="43"/>
        </w:rPr>
      </w:pPr>
    </w:p>
    <w:p>
      <w:pPr>
        <w:spacing w:before="158" w:line="924" w:lineRule="exact"/>
        <w:rPr/>
      </w:pPr>
      <w:r>
        <w:drawing>
          <wp:anchor distT="0" distB="0" distL="0" distR="0" simplePos="0" relativeHeight="251666432" behindDoc="0" locked="0" layoutInCell="1" allowOverlap="1">
            <wp:simplePos x="0" y="0"/>
            <wp:positionH relativeFrom="column">
              <wp:posOffset>857250</wp:posOffset>
            </wp:positionH>
            <wp:positionV relativeFrom="paragraph">
              <wp:posOffset>-34404</wp:posOffset>
            </wp:positionV>
            <wp:extent cx="6675119" cy="32245"/>
            <wp:effectExtent l="0" t="0" r="0" b="0"/>
            <wp:wrapNone/>
            <wp:docPr id="20" name="IM 20"/>
            <wp:cNvGraphicFramePr/>
            <a:graphic>
              <a:graphicData uri="http://schemas.openxmlformats.org/drawingml/2006/picture">
                <pic:pic>
                  <pic:nvPicPr>
                    <pic:cNvPr id="20" name="IM 20"/>
                    <pic:cNvPicPr/>
                  </pic:nvPicPr>
                  <pic:blipFill>
                    <a:blip r:embed="rId11"/>
                    <a:stretch>
                      <a:fillRect/>
                    </a:stretch>
                  </pic:blipFill>
                  <pic:spPr>
                    <a:xfrm rot="0">
                      <a:off x="0" y="0"/>
                      <a:ext cx="6675119" cy="32245"/>
                    </a:xfrm>
                    <a:prstGeom prst="rect">
                      <a:avLst/>
                    </a:prstGeom>
                  </pic:spPr>
                </pic:pic>
              </a:graphicData>
            </a:graphic>
          </wp:anchor>
        </w:drawing>
      </w:r>
      <w:r>
        <w:rPr>
          <w:position w:val="-18"/>
        </w:rPr>
        <w:pict>
          <v:group id="_x0000_s12" style="mso-position-vertical-relative:line;mso-position-horizontal-relative:char;width:134.3pt;height:46.25pt;" filled="false" stroked="false" coordsize="2686,925" coordorigin="0,0">
            <v:shape id="_x0000_s14" style="position:absolute;left:0;top:0;width:2686;height:925;" filled="false" stroked="false" type="#_x0000_t75">
              <v:imagedata o:title="" r:id="rId12"/>
            </v:shape>
            <v:shape id="_x0000_s16" style="position:absolute;left:-20;top:-20;width:2726;height:965;" filled="false" stroked="false" type="#_x0000_t202">
              <v:fill on="false"/>
              <v:stroke on="false"/>
              <v:path/>
              <v:imagedata o:title=""/>
              <o:lock v:ext="edit" aspectratio="false"/>
              <v:textbox inset="0mm,0mm,0mm,0mm">
                <w:txbxContent>
                  <w:p>
                    <w:pPr>
                      <w:ind w:left="483"/>
                      <w:spacing w:before="246" w:line="184" w:lineRule="auto"/>
                      <w:rPr>
                        <w:rFonts w:ascii="Microsoft YaHei" w:hAnsi="Microsoft YaHei" w:eastAsia="Microsoft YaHei" w:cs="Microsoft YaHei"/>
                        <w:sz w:val="28"/>
                        <w:szCs w:val="28"/>
                      </w:rPr>
                    </w:pPr>
                    <w:r>
                      <w:rPr>
                        <w:rFonts w:ascii="Microsoft YaHei" w:hAnsi="Microsoft YaHei" w:eastAsia="Microsoft YaHei" w:cs="Microsoft YaHei"/>
                        <w:sz w:val="28"/>
                        <w:szCs w:val="28"/>
                        <w:b/>
                        <w:bCs/>
                        <w:color w:val="FFFFFF"/>
                        <w:spacing w:val="-2"/>
                      </w:rPr>
                      <w:t>市场监管概览</w:t>
                    </w:r>
                  </w:p>
                </w:txbxContent>
              </v:textbox>
            </v:shape>
          </v:group>
        </w:pict>
      </w:r>
    </w:p>
    <w:p>
      <w:pPr>
        <w:pStyle w:val="BodyText"/>
        <w:spacing w:line="275" w:lineRule="auto"/>
        <w:rPr/>
      </w:pPr>
      <w:r/>
    </w:p>
    <w:p>
      <w:pPr>
        <w:pStyle w:val="BodyText"/>
        <w:spacing w:line="276" w:lineRule="auto"/>
        <w:rPr/>
      </w:pPr>
      <w:r/>
    </w:p>
    <w:p>
      <w:pPr>
        <w:pStyle w:val="BodyText"/>
        <w:spacing w:line="276" w:lineRule="auto"/>
        <w:rPr/>
      </w:pPr>
      <w:r/>
    </w:p>
    <w:p>
      <w:pPr>
        <w:pStyle w:val="BodyText"/>
        <w:spacing w:line="276" w:lineRule="auto"/>
        <w:rPr/>
      </w:pPr>
      <w:r>
        <w:drawing>
          <wp:anchor distT="0" distB="0" distL="0" distR="0" simplePos="0" relativeHeight="251665408" behindDoc="0" locked="0" layoutInCell="1" allowOverlap="1">
            <wp:simplePos x="0" y="0"/>
            <wp:positionH relativeFrom="column">
              <wp:posOffset>211454</wp:posOffset>
            </wp:positionH>
            <wp:positionV relativeFrom="paragraph">
              <wp:posOffset>173911</wp:posOffset>
            </wp:positionV>
            <wp:extent cx="3148329" cy="1852294"/>
            <wp:effectExtent l="0" t="0" r="0" b="0"/>
            <wp:wrapNone/>
            <wp:docPr id="22" name="IM 22"/>
            <wp:cNvGraphicFramePr/>
            <a:graphic>
              <a:graphicData uri="http://schemas.openxmlformats.org/drawingml/2006/picture">
                <pic:pic>
                  <pic:nvPicPr>
                    <pic:cNvPr id="22" name="IM 22"/>
                    <pic:cNvPicPr/>
                  </pic:nvPicPr>
                  <pic:blipFill>
                    <a:blip r:embed="rId13"/>
                    <a:stretch>
                      <a:fillRect/>
                    </a:stretch>
                  </pic:blipFill>
                  <pic:spPr>
                    <a:xfrm rot="0">
                      <a:off x="0" y="0"/>
                      <a:ext cx="3148329" cy="1852294"/>
                    </a:xfrm>
                    <a:prstGeom prst="rect">
                      <a:avLst/>
                    </a:prstGeom>
                  </pic:spPr>
                </pic:pic>
              </a:graphicData>
            </a:graphic>
          </wp:anchor>
        </w:drawing>
      </w:r>
      <w:r/>
    </w:p>
    <w:p>
      <w:pPr>
        <w:ind w:left="6161" w:right="613" w:firstLine="488"/>
        <w:spacing w:before="103" w:line="335" w:lineRule="auto"/>
        <w:jc w:val="both"/>
        <w:rPr>
          <w:rFonts w:ascii="Microsoft YaHei" w:hAnsi="Microsoft YaHei" w:eastAsia="Microsoft YaHei" w:cs="Microsoft YaHei"/>
          <w:sz w:val="24"/>
          <w:szCs w:val="24"/>
        </w:rPr>
      </w:pPr>
      <w:r>
        <w:rPr>
          <w:rFonts w:ascii="Microsoft YaHei" w:hAnsi="Microsoft YaHei" w:eastAsia="Microsoft YaHei" w:cs="Microsoft YaHei"/>
          <w:sz w:val="24"/>
          <w:szCs w:val="24"/>
        </w:rPr>
        <w:t>2024年6月17日-6月23日， 证</w:t>
      </w:r>
      <w:r>
        <w:rPr>
          <w:rFonts w:ascii="Microsoft YaHei" w:hAnsi="Microsoft YaHei" w:eastAsia="Microsoft YaHei" w:cs="Microsoft YaHei"/>
          <w:sz w:val="24"/>
          <w:szCs w:val="24"/>
          <w:spacing w:val="-1"/>
        </w:rPr>
        <w:t>监会作出3份</w:t>
      </w:r>
      <w:r>
        <w:rPr>
          <w:rFonts w:ascii="Microsoft YaHei" w:hAnsi="Microsoft YaHei" w:eastAsia="Microsoft YaHei" w:cs="Microsoft YaHei"/>
          <w:sz w:val="24"/>
          <w:szCs w:val="24"/>
        </w:rPr>
        <w:t xml:space="preserve"> </w:t>
      </w:r>
      <w:r>
        <w:rPr>
          <w:rFonts w:ascii="Microsoft YaHei" w:hAnsi="Microsoft YaHei" w:eastAsia="Microsoft YaHei" w:cs="Microsoft YaHei"/>
          <w:sz w:val="24"/>
          <w:szCs w:val="24"/>
          <w:spacing w:val="-6"/>
        </w:rPr>
        <w:t>监管文书； 证监局作出10份监管文书； 上交所作</w:t>
      </w:r>
      <w:r>
        <w:rPr>
          <w:rFonts w:ascii="Microsoft YaHei" w:hAnsi="Microsoft YaHei" w:eastAsia="Microsoft YaHei" w:cs="Microsoft YaHei"/>
          <w:sz w:val="24"/>
          <w:szCs w:val="24"/>
          <w:spacing w:val="7"/>
        </w:rPr>
        <w:t xml:space="preserve"> </w:t>
      </w:r>
      <w:r>
        <w:rPr>
          <w:rFonts w:ascii="Microsoft YaHei" w:hAnsi="Microsoft YaHei" w:eastAsia="Microsoft YaHei" w:cs="Microsoft YaHei"/>
          <w:sz w:val="24"/>
          <w:szCs w:val="24"/>
          <w:spacing w:val="-4"/>
        </w:rPr>
        <w:t>出12份监管文书； 深交所作出12份监管文书。</w:t>
      </w:r>
    </w:p>
    <w:p>
      <w:pPr>
        <w:ind w:left="6159" w:right="613" w:firstLine="482"/>
        <w:spacing w:before="40" w:line="335" w:lineRule="auto"/>
        <w:jc w:val="both"/>
        <w:rPr>
          <w:rFonts w:ascii="Microsoft YaHei" w:hAnsi="Microsoft YaHei" w:eastAsia="Microsoft YaHei" w:cs="Microsoft YaHei"/>
          <w:sz w:val="24"/>
          <w:szCs w:val="24"/>
        </w:rPr>
      </w:pPr>
      <w:r>
        <w:drawing>
          <wp:anchor distT="0" distB="0" distL="0" distR="0" simplePos="0" relativeHeight="251664384" behindDoc="0" locked="0" layoutInCell="1" allowOverlap="1">
            <wp:simplePos x="0" y="0"/>
            <wp:positionH relativeFrom="column">
              <wp:posOffset>79375</wp:posOffset>
            </wp:positionH>
            <wp:positionV relativeFrom="paragraph">
              <wp:posOffset>998371</wp:posOffset>
            </wp:positionV>
            <wp:extent cx="3631564" cy="3080384"/>
            <wp:effectExtent l="0" t="0" r="0" b="0"/>
            <wp:wrapNone/>
            <wp:docPr id="24" name="IM 24"/>
            <wp:cNvGraphicFramePr/>
            <a:graphic>
              <a:graphicData uri="http://schemas.openxmlformats.org/drawingml/2006/picture">
                <pic:pic>
                  <pic:nvPicPr>
                    <pic:cNvPr id="24" name="IM 24"/>
                    <pic:cNvPicPr/>
                  </pic:nvPicPr>
                  <pic:blipFill>
                    <a:blip r:embed="rId14"/>
                    <a:stretch>
                      <a:fillRect/>
                    </a:stretch>
                  </pic:blipFill>
                  <pic:spPr>
                    <a:xfrm rot="0">
                      <a:off x="0" y="0"/>
                      <a:ext cx="3631564" cy="3080384"/>
                    </a:xfrm>
                    <a:prstGeom prst="rect">
                      <a:avLst/>
                    </a:prstGeom>
                  </pic:spPr>
                </pic:pic>
              </a:graphicData>
            </a:graphic>
          </wp:anchor>
        </w:drawing>
      </w:r>
      <w:r>
        <w:rPr>
          <w:rFonts w:ascii="Microsoft YaHei" w:hAnsi="Microsoft YaHei" w:eastAsia="Microsoft YaHei" w:cs="Microsoft YaHei"/>
          <w:sz w:val="24"/>
          <w:szCs w:val="24"/>
        </w:rPr>
        <w:t>上周， 证监会对2个对象进行立案调查， 作</w:t>
      </w:r>
      <w:r>
        <w:rPr>
          <w:rFonts w:ascii="Microsoft YaHei" w:hAnsi="Microsoft YaHei" w:eastAsia="Microsoft YaHei" w:cs="Microsoft YaHei"/>
          <w:sz w:val="24"/>
          <w:szCs w:val="24"/>
          <w:spacing w:val="2"/>
        </w:rPr>
        <w:t xml:space="preserve"> </w:t>
      </w:r>
      <w:r>
        <w:rPr>
          <w:rFonts w:ascii="Microsoft YaHei" w:hAnsi="Microsoft YaHei" w:eastAsia="Microsoft YaHei" w:cs="Microsoft YaHei"/>
          <w:sz w:val="24"/>
          <w:szCs w:val="24"/>
          <w:spacing w:val="1"/>
        </w:rPr>
        <w:t>出1份行政处罚事先告知书； 证监局作出10份行</w:t>
      </w:r>
      <w:r>
        <w:rPr>
          <w:rFonts w:ascii="Microsoft YaHei" w:hAnsi="Microsoft YaHei" w:eastAsia="Microsoft YaHei" w:cs="Microsoft YaHei"/>
          <w:sz w:val="24"/>
          <w:szCs w:val="24"/>
          <w:spacing w:val="12"/>
        </w:rPr>
        <w:t xml:space="preserve"> </w:t>
      </w:r>
      <w:r>
        <w:rPr>
          <w:rFonts w:ascii="Microsoft YaHei" w:hAnsi="Microsoft YaHei" w:eastAsia="Microsoft YaHei" w:cs="Microsoft YaHei"/>
          <w:sz w:val="24"/>
          <w:szCs w:val="24"/>
          <w:spacing w:val="-1"/>
        </w:rPr>
        <w:t>政监管措施决定书。</w:t>
      </w:r>
    </w:p>
    <w:p>
      <w:pPr>
        <w:ind w:left="6122" w:right="521" w:firstLine="522"/>
        <w:spacing w:before="10" w:line="33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spacing w:val="-4"/>
        </w:rPr>
        <w:t>上周， 上交所公司监管部门作出6份监管警示</w:t>
      </w:r>
      <w:r>
        <w:rPr>
          <w:rFonts w:ascii="Microsoft YaHei" w:hAnsi="Microsoft YaHei" w:eastAsia="Microsoft YaHei" w:cs="Microsoft YaHei"/>
          <w:sz w:val="24"/>
          <w:szCs w:val="24"/>
          <w:spacing w:val="6"/>
        </w:rPr>
        <w:t xml:space="preserve"> </w:t>
      </w:r>
      <w:r>
        <w:rPr>
          <w:rFonts w:ascii="Microsoft YaHei" w:hAnsi="Microsoft YaHei" w:eastAsia="Microsoft YaHei" w:cs="Microsoft YaHei"/>
          <w:sz w:val="24"/>
          <w:szCs w:val="24"/>
          <w:spacing w:val="-6"/>
        </w:rPr>
        <w:t>函， 对6宗行为予以纪律处分。</w:t>
      </w:r>
      <w:r>
        <w:rPr>
          <w:rFonts w:ascii="Microsoft YaHei" w:hAnsi="Microsoft YaHei" w:eastAsia="Microsoft YaHei" w:cs="Microsoft YaHei"/>
          <w:sz w:val="24"/>
          <w:szCs w:val="24"/>
          <w:spacing w:val="-34"/>
        </w:rPr>
        <w:t xml:space="preserve"> </w:t>
      </w:r>
      <w:r>
        <w:rPr>
          <w:rFonts w:ascii="Microsoft YaHei" w:hAnsi="Microsoft YaHei" w:eastAsia="Microsoft YaHei" w:cs="Microsoft YaHei"/>
          <w:sz w:val="24"/>
          <w:szCs w:val="24"/>
          <w:spacing w:val="-6"/>
        </w:rPr>
        <w:t>同时， 加大信息披</w:t>
      </w:r>
      <w:r>
        <w:rPr>
          <w:rFonts w:ascii="Microsoft YaHei" w:hAnsi="Microsoft YaHei" w:eastAsia="Microsoft YaHei" w:cs="Microsoft YaHei"/>
          <w:sz w:val="24"/>
          <w:szCs w:val="24"/>
        </w:rPr>
        <w:t xml:space="preserve"> </w:t>
      </w:r>
      <w:r>
        <w:rPr>
          <w:rFonts w:ascii="Microsoft YaHei" w:hAnsi="Microsoft YaHei" w:eastAsia="Microsoft YaHei" w:cs="Microsoft YaHei"/>
          <w:sz w:val="24"/>
          <w:szCs w:val="24"/>
          <w:spacing w:val="4"/>
        </w:rPr>
        <w:t>露和股价异常的联动监管， 针对公司披露敏感信</w:t>
      </w:r>
      <w:r>
        <w:rPr>
          <w:rFonts w:ascii="Microsoft YaHei" w:hAnsi="Microsoft YaHei" w:eastAsia="Microsoft YaHei" w:cs="Microsoft YaHei"/>
          <w:sz w:val="24"/>
          <w:szCs w:val="24"/>
          <w:spacing w:val="17"/>
        </w:rPr>
        <w:t xml:space="preserve"> </w:t>
      </w:r>
      <w:r>
        <w:rPr>
          <w:rFonts w:ascii="Microsoft YaHei" w:hAnsi="Microsoft YaHei" w:eastAsia="Microsoft YaHei" w:cs="Microsoft YaHei"/>
          <w:sz w:val="24"/>
          <w:szCs w:val="24"/>
          <w:spacing w:val="4"/>
        </w:rPr>
        <w:t>息或股价发生明显异常的， 提请启动内幕交易、</w:t>
      </w:r>
      <w:r>
        <w:rPr>
          <w:rFonts w:ascii="Microsoft YaHei" w:hAnsi="Microsoft YaHei" w:eastAsia="Microsoft YaHei" w:cs="Microsoft YaHei"/>
          <w:sz w:val="24"/>
          <w:szCs w:val="24"/>
          <w:spacing w:val="17"/>
          <w:w w:val="101"/>
        </w:rPr>
        <w:t xml:space="preserve"> </w:t>
      </w:r>
      <w:r>
        <w:rPr>
          <w:rFonts w:ascii="Microsoft YaHei" w:hAnsi="Microsoft YaHei" w:eastAsia="Microsoft YaHei" w:cs="Microsoft YaHei"/>
          <w:sz w:val="24"/>
          <w:szCs w:val="24"/>
          <w:spacing w:val="-1"/>
        </w:rPr>
        <w:t>异常交易核查5单。</w:t>
      </w:r>
    </w:p>
    <w:p>
      <w:pPr>
        <w:ind w:left="6128" w:right="613" w:firstLine="479"/>
        <w:spacing w:before="1" w:line="204" w:lineRule="auto"/>
        <w:rPr>
          <w:rFonts w:ascii="Microsoft YaHei" w:hAnsi="Microsoft YaHei" w:eastAsia="Microsoft YaHei" w:cs="Microsoft YaHei"/>
          <w:sz w:val="24"/>
          <w:szCs w:val="24"/>
        </w:rPr>
      </w:pPr>
      <w:r>
        <w:rPr>
          <w:rFonts w:ascii="Microsoft YaHei" w:hAnsi="Microsoft YaHei" w:eastAsia="Microsoft YaHei" w:cs="Microsoft YaHei"/>
          <w:sz w:val="24"/>
          <w:szCs w:val="24"/>
          <w:spacing w:val="-1"/>
        </w:rPr>
        <w:t>上周， 深交所发出10份监管函， 对2宗行为</w:t>
      </w:r>
      <w:r>
        <w:rPr>
          <w:rFonts w:ascii="Microsoft YaHei" w:hAnsi="Microsoft YaHei" w:eastAsia="Microsoft YaHei" w:cs="Microsoft YaHei"/>
          <w:sz w:val="24"/>
          <w:szCs w:val="24"/>
          <w:spacing w:val="17"/>
        </w:rPr>
        <w:t xml:space="preserve"> </w:t>
      </w:r>
      <w:r>
        <w:rPr>
          <w:rFonts w:ascii="Microsoft YaHei" w:hAnsi="Microsoft YaHei" w:eastAsia="Microsoft YaHei" w:cs="Microsoft YaHei"/>
          <w:sz w:val="24"/>
          <w:szCs w:val="24"/>
          <w:spacing w:val="-5"/>
        </w:rPr>
        <w:t>予以纪律处分； 共发出关注函1份。</w:t>
      </w:r>
    </w:p>
    <w:p>
      <w:pPr>
        <w:spacing w:line="204" w:lineRule="auto"/>
        <w:sectPr>
          <w:type w:val="continuous"/>
          <w:pgSz w:w="11910" w:h="16840"/>
          <w:pgMar w:top="343" w:right="48" w:bottom="0" w:left="0" w:header="0" w:footer="0" w:gutter="0"/>
          <w:cols w:equalWidth="0" w:num="1">
            <w:col w:w="11862" w:space="0"/>
          </w:cols>
        </w:sectPr>
        <w:rPr>
          <w:rFonts w:ascii="Microsoft YaHei" w:hAnsi="Microsoft YaHei" w:eastAsia="Microsoft YaHei" w:cs="Microsoft YaHei"/>
          <w:sz w:val="24"/>
          <w:szCs w:val="24"/>
        </w:rPr>
      </w:pPr>
    </w:p>
    <w:p>
      <w:pPr>
        <w:spacing w:line="924" w:lineRule="exact"/>
        <w:rPr/>
      </w:pPr>
      <w:r>
        <w:rPr>
          <w:position w:val="-18"/>
        </w:rPr>
        <w:pict>
          <v:group id="_x0000_s18" style="mso-position-vertical-relative:line;mso-position-horizontal-relative:char;width:188.3pt;height:46.25pt;" filled="false" stroked="false" coordsize="3766,925" coordorigin="0,0">
            <v:shape id="_x0000_s20" style="position:absolute;left:0;top:0;width:3766;height:925;" filled="false" stroked="false" type="#_x0000_t75">
              <v:imagedata o:title="" r:id="rId15"/>
            </v:shape>
            <v:shape id="_x0000_s22" style="position:absolute;left:-20;top:-20;width:3806;height:965;" filled="false" stroked="false" type="#_x0000_t202">
              <v:fill on="false"/>
              <v:stroke on="false"/>
              <v:path/>
              <v:imagedata o:title=""/>
              <o:lock v:ext="edit" aspectratio="false"/>
              <v:textbox inset="0mm,0mm,0mm,0mm">
                <w:txbxContent>
                  <w:p>
                    <w:pPr>
                      <w:ind w:left="387"/>
                      <w:spacing w:before="241" w:line="183" w:lineRule="auto"/>
                      <w:rPr>
                        <w:rFonts w:ascii="Microsoft YaHei" w:hAnsi="Microsoft YaHei" w:eastAsia="Microsoft YaHei" w:cs="Microsoft YaHei"/>
                        <w:sz w:val="28"/>
                        <w:szCs w:val="28"/>
                      </w:rPr>
                    </w:pPr>
                    <w:r>
                      <w:rPr>
                        <w:rFonts w:ascii="Microsoft YaHei" w:hAnsi="Microsoft YaHei" w:eastAsia="Microsoft YaHei" w:cs="Microsoft YaHei"/>
                        <w:sz w:val="28"/>
                        <w:szCs w:val="28"/>
                        <w:b/>
                        <w:bCs/>
                        <w:color w:val="FFFFFF"/>
                        <w:spacing w:val="-1"/>
                      </w:rPr>
                      <w:t>证监会证监局监管动态</w:t>
                    </w:r>
                  </w:p>
                </w:txbxContent>
              </v:textbox>
            </v:shape>
          </v:group>
        </w:pict>
      </w:r>
    </w:p>
    <w:p>
      <w:pPr>
        <w:ind w:left="442" w:right="33" w:firstLine="490"/>
        <w:spacing w:before="175" w:line="358" w:lineRule="auto"/>
        <w:rPr>
          <w:rFonts w:ascii="Microsoft YaHei" w:hAnsi="Microsoft YaHei" w:eastAsia="Microsoft YaHei" w:cs="Microsoft YaHei"/>
          <w:sz w:val="24"/>
          <w:szCs w:val="24"/>
        </w:rPr>
      </w:pPr>
      <w:r>
        <w:rPr>
          <w:rFonts w:ascii="Microsoft YaHei" w:hAnsi="Microsoft YaHei" w:eastAsia="Microsoft YaHei" w:cs="Microsoft YaHei"/>
          <w:sz w:val="24"/>
          <w:szCs w:val="24"/>
          <w:spacing w:val="-1"/>
        </w:rPr>
        <w:t>2024年6月17日-6月23日， 证监会对2个对象进行立案</w:t>
      </w:r>
      <w:r>
        <w:rPr>
          <w:rFonts w:ascii="Microsoft YaHei" w:hAnsi="Microsoft YaHei" w:eastAsia="Microsoft YaHei" w:cs="Microsoft YaHei"/>
          <w:sz w:val="24"/>
          <w:szCs w:val="24"/>
          <w:spacing w:val="-2"/>
        </w:rPr>
        <w:t>调查， 作出1份行政处罚事先告知书； 证监</w:t>
      </w:r>
      <w:r>
        <w:rPr>
          <w:rFonts w:ascii="Microsoft YaHei" w:hAnsi="Microsoft YaHei" w:eastAsia="Microsoft YaHei" w:cs="Microsoft YaHei"/>
          <w:sz w:val="24"/>
          <w:szCs w:val="24"/>
        </w:rPr>
        <w:t xml:space="preserve"> </w:t>
      </w:r>
      <w:r>
        <w:rPr>
          <w:rFonts w:ascii="Microsoft YaHei" w:hAnsi="Microsoft YaHei" w:eastAsia="Microsoft YaHei" w:cs="Microsoft YaHei"/>
          <w:sz w:val="24"/>
          <w:szCs w:val="24"/>
          <w:spacing w:val="-1"/>
        </w:rPr>
        <w:t>局作出10份行政监管措施决定书。</w:t>
      </w:r>
    </w:p>
    <w:p>
      <w:pPr>
        <w:ind w:left="956"/>
        <w:spacing w:before="32" w:line="225" w:lineRule="auto"/>
        <w:outlineLvl w:val="1"/>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9"/>
        </w:rPr>
        <w:t>（1） 行政处罚事先告知书</w:t>
      </w:r>
    </w:p>
    <w:p>
      <w:pPr>
        <w:spacing w:line="185" w:lineRule="exact"/>
        <w:rPr/>
      </w:pPr>
      <w:r/>
    </w:p>
    <w:tbl>
      <w:tblPr>
        <w:tblStyle w:val="TableNormal"/>
        <w:tblW w:w="10878" w:type="dxa"/>
        <w:tblInd w:w="415"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638"/>
        <w:gridCol w:w="1815"/>
        <w:gridCol w:w="7425"/>
      </w:tblGrid>
      <w:tr>
        <w:trPr>
          <w:trHeight w:val="387" w:hRule="atLeast"/>
        </w:trPr>
        <w:tc>
          <w:tcPr>
            <w:shd w:val="clear" w:fill="4F81BD"/>
            <w:tcW w:w="1638" w:type="dxa"/>
            <w:vAlign w:val="top"/>
            <w:tcBorders>
              <w:bottom w:val="single" w:color="FFFFFF" w:sz="2" w:space="0"/>
            </w:tcBorders>
          </w:tcPr>
          <w:p>
            <w:pPr>
              <w:pStyle w:val="TableText"/>
              <w:ind w:left="394"/>
              <w:spacing w:before="109" w:line="187" w:lineRule="auto"/>
              <w:rPr/>
            </w:pPr>
            <w:r>
              <w:rPr>
                <w:b/>
                <w:bCs/>
                <w:color w:val="FFFFFF"/>
                <w:spacing w:val="8"/>
              </w:rPr>
              <w:t>公司代码</w:t>
            </w:r>
          </w:p>
        </w:tc>
        <w:tc>
          <w:tcPr>
            <w:shd w:val="clear" w:fill="4F81BD"/>
            <w:tcW w:w="1815" w:type="dxa"/>
            <w:vAlign w:val="top"/>
            <w:tcBorders>
              <w:bottom w:val="single" w:color="FFFFFF" w:sz="2" w:space="0"/>
            </w:tcBorders>
          </w:tcPr>
          <w:p>
            <w:pPr>
              <w:pStyle w:val="TableText"/>
              <w:ind w:left="479"/>
              <w:spacing w:before="109" w:line="187" w:lineRule="auto"/>
              <w:rPr/>
            </w:pPr>
            <w:r>
              <w:rPr>
                <w:b/>
                <w:bCs/>
                <w:color w:val="FFFFFF"/>
                <w:spacing w:val="8"/>
              </w:rPr>
              <w:t>公司简称</w:t>
            </w:r>
          </w:p>
        </w:tc>
        <w:tc>
          <w:tcPr>
            <w:shd w:val="clear" w:fill="4F81BD"/>
            <w:tcW w:w="7425" w:type="dxa"/>
            <w:vAlign w:val="top"/>
            <w:tcBorders>
              <w:bottom w:val="single" w:color="FFFFFF" w:sz="2" w:space="0"/>
            </w:tcBorders>
          </w:tcPr>
          <w:p>
            <w:pPr>
              <w:pStyle w:val="TableText"/>
              <w:ind w:left="3286"/>
              <w:spacing w:before="109" w:line="187" w:lineRule="auto"/>
              <w:rPr/>
            </w:pPr>
            <w:r>
              <w:rPr>
                <w:b/>
                <w:bCs/>
                <w:color w:val="FFFFFF"/>
                <w:spacing w:val="8"/>
              </w:rPr>
              <w:t>违规行为</w:t>
            </w:r>
          </w:p>
        </w:tc>
      </w:tr>
      <w:tr>
        <w:trPr>
          <w:trHeight w:val="800" w:hRule="atLeast"/>
        </w:trPr>
        <w:tc>
          <w:tcPr>
            <w:shd w:val="clear" w:fill="B8CCE4"/>
            <w:tcW w:w="1638" w:type="dxa"/>
            <w:vAlign w:val="top"/>
            <w:tcBorders>
              <w:top w:val="single" w:color="FFFFFF" w:sz="2" w:space="0"/>
            </w:tcBorders>
          </w:tcPr>
          <w:p>
            <w:pPr>
              <w:pStyle w:val="TableText"/>
              <w:ind w:left="449"/>
              <w:spacing w:before="313" w:line="179" w:lineRule="auto"/>
              <w:rPr/>
            </w:pPr>
            <w:r>
              <w:rPr>
                <w:spacing w:val="3"/>
              </w:rPr>
              <w:t>002411</w:t>
            </w:r>
          </w:p>
        </w:tc>
        <w:tc>
          <w:tcPr>
            <w:shd w:val="clear" w:fill="B8CCE4"/>
            <w:tcW w:w="1815" w:type="dxa"/>
            <w:vAlign w:val="top"/>
            <w:tcBorders>
              <w:top w:val="single" w:color="FFFFFF" w:sz="2" w:space="0"/>
            </w:tcBorders>
          </w:tcPr>
          <w:p>
            <w:pPr>
              <w:pStyle w:val="TableText"/>
              <w:ind w:left="584"/>
              <w:spacing w:before="300" w:line="189" w:lineRule="auto"/>
              <w:rPr/>
            </w:pPr>
            <w:r>
              <w:rPr>
                <w:spacing w:val="8"/>
              </w:rPr>
              <w:t>必康退</w:t>
            </w:r>
          </w:p>
        </w:tc>
        <w:tc>
          <w:tcPr>
            <w:shd w:val="clear" w:fill="B8CCE4"/>
            <w:tcW w:w="7425" w:type="dxa"/>
            <w:vAlign w:val="top"/>
            <w:tcBorders>
              <w:top w:val="single" w:color="FFFFFF" w:sz="2" w:space="0"/>
            </w:tcBorders>
          </w:tcPr>
          <w:p>
            <w:pPr>
              <w:pStyle w:val="TableText"/>
              <w:ind w:left="100" w:right="239" w:firstLine="9"/>
              <w:spacing w:before="158" w:line="221" w:lineRule="auto"/>
              <w:rPr/>
            </w:pPr>
            <w:r>
              <w:rPr>
                <w:spacing w:val="6"/>
              </w:rPr>
              <w:t>2019年、</w:t>
            </w:r>
            <w:r>
              <w:rPr>
                <w:spacing w:val="-25"/>
              </w:rPr>
              <w:t xml:space="preserve"> </w:t>
            </w:r>
            <w:r>
              <w:rPr>
                <w:spacing w:val="6"/>
              </w:rPr>
              <w:t>2020年年度报告</w:t>
            </w:r>
            <w:r>
              <w:rPr>
                <w:b/>
                <w:bCs/>
                <w:spacing w:val="6"/>
              </w:rPr>
              <w:t>虚增营业收入和利润</w:t>
            </w:r>
            <w:r>
              <w:rPr>
                <w:spacing w:val="6"/>
              </w:rPr>
              <w:t>； </w:t>
            </w:r>
            <w:r>
              <w:rPr>
                <w:b/>
                <w:bCs/>
                <w:spacing w:val="6"/>
              </w:rPr>
              <w:t>非经营性资金占用事项</w:t>
            </w:r>
            <w:r>
              <w:rPr>
                <w:spacing w:val="6"/>
              </w:rPr>
              <w:t>披露</w:t>
            </w:r>
            <w:r>
              <w:rPr/>
              <w:t xml:space="preserve"> </w:t>
            </w:r>
            <w:r>
              <w:rPr>
                <w:spacing w:val="6"/>
              </w:rPr>
              <w:t>存在虚假记载； 未按规定披露</w:t>
            </w:r>
            <w:r>
              <w:rPr>
                <w:b/>
                <w:bCs/>
                <w:spacing w:val="6"/>
              </w:rPr>
              <w:t>关联担保情</w:t>
            </w:r>
            <w:r>
              <w:rPr>
                <w:b/>
                <w:bCs/>
                <w:spacing w:val="5"/>
              </w:rPr>
              <w:t>况。</w:t>
            </w:r>
          </w:p>
        </w:tc>
      </w:tr>
      <w:tr>
        <w:trPr>
          <w:trHeight w:val="4685" w:hRule="atLeast"/>
        </w:trPr>
        <w:tc>
          <w:tcPr>
            <w:tcW w:w="10878" w:type="dxa"/>
            <w:vAlign w:val="top"/>
            <w:gridSpan w:val="3"/>
          </w:tcPr>
          <w:p>
            <w:pPr>
              <w:pStyle w:val="TableText"/>
              <w:ind w:left="122"/>
              <w:spacing w:before="39" w:line="233" w:lineRule="auto"/>
              <w:rPr/>
            </w:pPr>
            <w:r>
              <w:rPr>
                <w:b/>
                <w:bCs/>
                <w:spacing w:val="3"/>
              </w:rPr>
              <w:t>【行政处罚决定 （拟） 】</w:t>
            </w:r>
            <w:r>
              <w:rPr>
                <w:b/>
                <w:bCs/>
                <w:spacing w:val="-35"/>
              </w:rPr>
              <w:t xml:space="preserve"> </w:t>
            </w:r>
            <w:r>
              <w:rPr>
                <w:spacing w:val="3"/>
              </w:rPr>
              <w:t>中国证券监督管理委员会拟决定：</w:t>
            </w:r>
          </w:p>
          <w:p>
            <w:pPr>
              <w:pStyle w:val="TableText"/>
              <w:ind w:left="123"/>
              <w:spacing w:before="68" w:line="190" w:lineRule="auto"/>
              <w:rPr/>
            </w:pPr>
            <w:r>
              <w:rPr>
                <w:spacing w:val="5"/>
              </w:rPr>
              <w:t>1、对延安必康制药股份有限公司责令改正， 给予警告， 并处以1,000万元罚</w:t>
            </w:r>
            <w:r>
              <w:rPr>
                <w:spacing w:val="4"/>
              </w:rPr>
              <w:t>款；</w:t>
            </w:r>
          </w:p>
          <w:p>
            <w:pPr>
              <w:pStyle w:val="TableText"/>
              <w:ind w:left="114"/>
              <w:spacing w:before="89" w:line="189" w:lineRule="auto"/>
              <w:rPr/>
            </w:pPr>
            <w:r>
              <w:rPr>
                <w:spacing w:val="7"/>
              </w:rPr>
              <w:t>2、对实际控制人李某松处以1,000万元罚款；</w:t>
            </w:r>
          </w:p>
          <w:p>
            <w:pPr>
              <w:pStyle w:val="TableText"/>
              <w:ind w:left="116"/>
              <w:spacing w:before="90" w:line="189" w:lineRule="auto"/>
              <w:rPr/>
            </w:pPr>
            <w:r>
              <w:rPr>
                <w:spacing w:val="6"/>
              </w:rPr>
              <w:t>3、对时任董事长,时任总经理谷某嘉给予警告， 并处以500万元罚款；</w:t>
            </w:r>
          </w:p>
          <w:p>
            <w:pPr>
              <w:pStyle w:val="TableText"/>
              <w:ind w:left="103"/>
              <w:spacing w:before="88" w:line="190" w:lineRule="auto"/>
              <w:rPr/>
            </w:pPr>
            <w:r>
              <w:rPr>
                <w:spacing w:val="7"/>
              </w:rPr>
              <w:t>4、对时任高管,时任董事李某昆给予警告，</w:t>
            </w:r>
            <w:r>
              <w:rPr>
                <w:spacing w:val="6"/>
              </w:rPr>
              <w:t xml:space="preserve"> 并处以300万元罚款；</w:t>
            </w:r>
          </w:p>
          <w:p>
            <w:pPr>
              <w:pStyle w:val="TableText"/>
              <w:ind w:left="119"/>
              <w:spacing w:before="92" w:line="189" w:lineRule="auto"/>
              <w:rPr/>
            </w:pPr>
            <w:r>
              <w:rPr>
                <w:spacing w:val="5"/>
              </w:rPr>
              <w:t>5、对时任董事香某福给予警告， 并处以150万元罚款；</w:t>
            </w:r>
          </w:p>
          <w:p>
            <w:pPr>
              <w:pStyle w:val="TableText"/>
              <w:ind w:left="114"/>
              <w:spacing w:before="88" w:line="190" w:lineRule="auto"/>
              <w:rPr/>
            </w:pPr>
            <w:r>
              <w:rPr>
                <w:spacing w:val="6"/>
              </w:rPr>
              <w:t>6、对时任高管董某、</w:t>
            </w:r>
            <w:r>
              <w:rPr>
                <w:spacing w:val="-27"/>
              </w:rPr>
              <w:t xml:space="preserve"> </w:t>
            </w:r>
            <w:r>
              <w:rPr>
                <w:spacing w:val="6"/>
              </w:rPr>
              <w:t>时任监事陈某铭给予警告， 并分别处以100万元罚款；</w:t>
            </w:r>
          </w:p>
          <w:p>
            <w:pPr>
              <w:pStyle w:val="TableText"/>
              <w:ind w:left="104" w:right="102" w:firstLine="8"/>
              <w:spacing w:before="88" w:line="221" w:lineRule="auto"/>
              <w:rPr/>
            </w:pPr>
            <w:r>
              <w:rPr>
                <w:spacing w:val="10"/>
              </w:rPr>
              <w:t>7、对时任董事邓某、</w:t>
            </w:r>
            <w:r>
              <w:rPr>
                <w:spacing w:val="-25"/>
              </w:rPr>
              <w:t xml:space="preserve"> </w:t>
            </w:r>
            <w:r>
              <w:rPr>
                <w:spacing w:val="10"/>
              </w:rPr>
              <w:t>时任高管,时任董事何某东、时任高管岳某波、</w:t>
            </w:r>
            <w:r>
              <w:rPr>
                <w:spacing w:val="-37"/>
              </w:rPr>
              <w:t xml:space="preserve"> </w:t>
            </w:r>
            <w:r>
              <w:rPr>
                <w:spacing w:val="10"/>
              </w:rPr>
              <w:t>时任董事王某给予警告， 并分别处以80万元罚</w:t>
            </w:r>
            <w:r>
              <w:rPr/>
              <w:t xml:space="preserve"> </w:t>
            </w:r>
            <w:r>
              <w:rPr>
                <w:spacing w:val="3"/>
              </w:rPr>
              <w:t>款；</w:t>
            </w:r>
          </w:p>
          <w:p>
            <w:pPr>
              <w:pStyle w:val="TableText"/>
              <w:ind w:left="112"/>
              <w:spacing w:before="90" w:line="189" w:lineRule="auto"/>
              <w:rPr/>
            </w:pPr>
            <w:r>
              <w:rPr>
                <w:spacing w:val="7"/>
              </w:rPr>
              <w:t>8、对时任独董黄某、</w:t>
            </w:r>
            <w:r>
              <w:rPr>
                <w:spacing w:val="-37"/>
              </w:rPr>
              <w:t xml:space="preserve"> </w:t>
            </w:r>
            <w:r>
              <w:rPr>
                <w:spacing w:val="7"/>
              </w:rPr>
              <w:t>时任独董杜某、时任独董党某水给予警告， 并分别处以50万元</w:t>
            </w:r>
            <w:r>
              <w:rPr>
                <w:spacing w:val="6"/>
              </w:rPr>
              <w:t>罚款。</w:t>
            </w:r>
          </w:p>
          <w:p>
            <w:pPr>
              <w:pStyle w:val="TableText"/>
              <w:ind w:left="103" w:right="104" w:firstLine="1"/>
              <w:spacing w:before="50"/>
              <w:rPr/>
            </w:pPr>
            <w:r>
              <w:rPr>
                <w:spacing w:val="6"/>
              </w:rPr>
              <w:t>此外， 依据《证券法》第二百二十一条， 《证券市场禁入规定》</w:t>
            </w:r>
            <w:r>
              <w:rPr>
                <w:spacing w:val="-16"/>
              </w:rPr>
              <w:t xml:space="preserve"> </w:t>
            </w:r>
            <w:r>
              <w:rPr>
                <w:spacing w:val="6"/>
              </w:rPr>
              <w:t>(证监会令第115号) 第三条第二项和第五条第三项、</w:t>
            </w:r>
            <w:r>
              <w:rPr/>
              <w:t xml:space="preserve"> </w:t>
            </w:r>
            <w:r>
              <w:rPr>
                <w:spacing w:val="7"/>
              </w:rPr>
              <w:t>第七项的规定， 中国证监会拟决定， 实际控制人李某松终身证券市场禁入， 时任董事长,时任总经理谷某嘉10年证券</w:t>
            </w:r>
            <w:r>
              <w:rPr>
                <w:spacing w:val="8"/>
              </w:rPr>
              <w:t xml:space="preserve"> </w:t>
            </w:r>
            <w:r>
              <w:rPr>
                <w:spacing w:val="7"/>
              </w:rPr>
              <w:t>市场禁入， 时任高管,时任董事李某昆、</w:t>
            </w:r>
            <w:r>
              <w:rPr>
                <w:spacing w:val="-37"/>
              </w:rPr>
              <w:t xml:space="preserve"> </w:t>
            </w:r>
            <w:r>
              <w:rPr>
                <w:spacing w:val="7"/>
              </w:rPr>
              <w:t>时任董事香某福三年证券市场禁入</w:t>
            </w:r>
            <w:r>
              <w:rPr>
                <w:spacing w:val="6"/>
              </w:rPr>
              <w:t>措施。</w:t>
            </w:r>
          </w:p>
        </w:tc>
      </w:tr>
    </w:tbl>
    <w:p>
      <w:pPr>
        <w:pStyle w:val="BodyText"/>
        <w:spacing w:line="292" w:lineRule="auto"/>
        <w:rPr/>
      </w:pPr>
      <w:r/>
    </w:p>
    <w:p>
      <w:pPr>
        <w:pStyle w:val="BodyText"/>
        <w:spacing w:line="293" w:lineRule="auto"/>
        <w:rPr/>
      </w:pPr>
      <w:r/>
    </w:p>
    <w:p>
      <w:pPr>
        <w:ind w:left="956"/>
        <w:spacing w:before="103" w:line="225" w:lineRule="auto"/>
        <w:outlineLvl w:val="1"/>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11"/>
        </w:rPr>
        <w:t>（2） 行政监管措施</w:t>
      </w:r>
    </w:p>
    <w:p>
      <w:pPr>
        <w:spacing w:line="186" w:lineRule="exact"/>
        <w:rPr/>
      </w:pPr>
      <w:r/>
    </w:p>
    <w:tbl>
      <w:tblPr>
        <w:tblStyle w:val="TableNormal"/>
        <w:tblW w:w="10878" w:type="dxa"/>
        <w:tblInd w:w="415"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638"/>
        <w:gridCol w:w="1815"/>
        <w:gridCol w:w="7425"/>
      </w:tblGrid>
      <w:tr>
        <w:trPr>
          <w:trHeight w:val="387" w:hRule="atLeast"/>
        </w:trPr>
        <w:tc>
          <w:tcPr>
            <w:shd w:val="clear" w:fill="4F81BD"/>
            <w:tcW w:w="1638" w:type="dxa"/>
            <w:vAlign w:val="top"/>
            <w:tcBorders>
              <w:bottom w:val="single" w:color="FFFFFF" w:sz="2" w:space="0"/>
            </w:tcBorders>
          </w:tcPr>
          <w:p>
            <w:pPr>
              <w:pStyle w:val="TableText"/>
              <w:ind w:left="394"/>
              <w:spacing w:before="109" w:line="187" w:lineRule="auto"/>
              <w:rPr/>
            </w:pPr>
            <w:r>
              <w:rPr>
                <w:b/>
                <w:bCs/>
                <w:color w:val="FFFFFF"/>
                <w:spacing w:val="8"/>
              </w:rPr>
              <w:t>公司代码</w:t>
            </w:r>
          </w:p>
        </w:tc>
        <w:tc>
          <w:tcPr>
            <w:shd w:val="clear" w:fill="4F81BD"/>
            <w:tcW w:w="1815" w:type="dxa"/>
            <w:vAlign w:val="top"/>
            <w:tcBorders>
              <w:bottom w:val="single" w:color="FFFFFF" w:sz="2" w:space="0"/>
            </w:tcBorders>
          </w:tcPr>
          <w:p>
            <w:pPr>
              <w:pStyle w:val="TableText"/>
              <w:ind w:left="479"/>
              <w:spacing w:before="109" w:line="187" w:lineRule="auto"/>
              <w:rPr/>
            </w:pPr>
            <w:r>
              <w:rPr>
                <w:b/>
                <w:bCs/>
                <w:color w:val="FFFFFF"/>
                <w:spacing w:val="8"/>
              </w:rPr>
              <w:t>公司简称</w:t>
            </w:r>
          </w:p>
        </w:tc>
        <w:tc>
          <w:tcPr>
            <w:shd w:val="clear" w:fill="4F81BD"/>
            <w:tcW w:w="7425" w:type="dxa"/>
            <w:vAlign w:val="top"/>
            <w:tcBorders>
              <w:bottom w:val="single" w:color="FFFFFF" w:sz="2" w:space="0"/>
            </w:tcBorders>
          </w:tcPr>
          <w:p>
            <w:pPr>
              <w:pStyle w:val="TableText"/>
              <w:ind w:left="3286"/>
              <w:spacing w:before="109" w:line="187" w:lineRule="auto"/>
              <w:rPr/>
            </w:pPr>
            <w:r>
              <w:rPr>
                <w:b/>
                <w:bCs/>
                <w:color w:val="FFFFFF"/>
                <w:spacing w:val="8"/>
              </w:rPr>
              <w:t>违规行为</w:t>
            </w:r>
          </w:p>
        </w:tc>
      </w:tr>
      <w:tr>
        <w:trPr>
          <w:trHeight w:val="1160" w:hRule="atLeast"/>
        </w:trPr>
        <w:tc>
          <w:tcPr>
            <w:shd w:val="clear" w:fill="B8CCE4"/>
            <w:tcW w:w="1638" w:type="dxa"/>
            <w:vAlign w:val="top"/>
            <w:tcBorders>
              <w:top w:val="single" w:color="FFFFFF" w:sz="2" w:space="0"/>
            </w:tcBorders>
          </w:tcPr>
          <w:p>
            <w:pPr>
              <w:spacing w:line="408" w:lineRule="auto"/>
              <w:rPr>
                <w:rFonts w:ascii="Arial"/>
                <w:sz w:val="21"/>
              </w:rPr>
            </w:pPr>
            <w:r/>
          </w:p>
          <w:p>
            <w:pPr>
              <w:pStyle w:val="TableText"/>
              <w:ind w:left="455"/>
              <w:spacing w:before="86" w:line="178" w:lineRule="auto"/>
              <w:rPr/>
            </w:pPr>
            <w:r>
              <w:rPr>
                <w:spacing w:val="3"/>
              </w:rPr>
              <w:t>300695</w:t>
            </w:r>
          </w:p>
        </w:tc>
        <w:tc>
          <w:tcPr>
            <w:shd w:val="clear" w:fill="B8CCE4"/>
            <w:tcW w:w="1815" w:type="dxa"/>
            <w:vAlign w:val="top"/>
            <w:tcBorders>
              <w:top w:val="single" w:color="FFFFFF" w:sz="2" w:space="0"/>
            </w:tcBorders>
          </w:tcPr>
          <w:p>
            <w:pPr>
              <w:spacing w:line="395" w:lineRule="auto"/>
              <w:rPr>
                <w:rFonts w:ascii="Arial"/>
                <w:sz w:val="21"/>
              </w:rPr>
            </w:pPr>
            <w:r/>
          </w:p>
          <w:p>
            <w:pPr>
              <w:pStyle w:val="TableText"/>
              <w:ind w:left="479"/>
              <w:spacing w:before="86" w:line="188" w:lineRule="auto"/>
              <w:rPr/>
            </w:pPr>
            <w:r>
              <w:rPr>
                <w:spacing w:val="8"/>
              </w:rPr>
              <w:t>兆丰股份</w:t>
            </w:r>
          </w:p>
        </w:tc>
        <w:tc>
          <w:tcPr>
            <w:shd w:val="clear" w:fill="B8CCE4"/>
            <w:tcW w:w="7425" w:type="dxa"/>
            <w:vAlign w:val="top"/>
            <w:tcBorders>
              <w:top w:val="single" w:color="FFFFFF" w:sz="2" w:space="0"/>
            </w:tcBorders>
          </w:tcPr>
          <w:p>
            <w:pPr>
              <w:pStyle w:val="TableText"/>
              <w:ind w:left="98" w:right="174" w:firstLine="2"/>
              <w:spacing w:before="159" w:line="231" w:lineRule="auto"/>
              <w:jc w:val="both"/>
              <w:rPr/>
            </w:pPr>
            <w:r>
              <w:rPr>
                <w:spacing w:val="7"/>
              </w:rPr>
              <w:t>浙江兆丰机电股份有限公司2020年和2022年归属于母公司股东的净利润， 未</w:t>
            </w:r>
            <w:r>
              <w:rPr>
                <w:spacing w:val="2"/>
              </w:rPr>
              <w:t xml:space="preserve">  </w:t>
            </w:r>
            <w:r>
              <w:rPr>
                <w:spacing w:val="6"/>
              </w:rPr>
              <w:t>分配利润均为正， 但未按承诺向股东实施现金分红， </w:t>
            </w:r>
            <w:r>
              <w:rPr>
                <w:b/>
                <w:bCs/>
                <w:spacing w:val="6"/>
              </w:rPr>
              <w:t>违反了首次公开发行时的</w:t>
            </w:r>
            <w:r>
              <w:rPr>
                <w:b/>
                <w:bCs/>
                <w:spacing w:val="1"/>
              </w:rPr>
              <w:t xml:space="preserve"> </w:t>
            </w:r>
            <w:r>
              <w:rPr>
                <w:b/>
                <w:bCs/>
                <w:spacing w:val="5"/>
              </w:rPr>
              <w:t>承诺。</w:t>
            </w:r>
          </w:p>
        </w:tc>
      </w:tr>
      <w:tr>
        <w:trPr>
          <w:trHeight w:val="723" w:hRule="atLeast"/>
        </w:trPr>
        <w:tc>
          <w:tcPr>
            <w:tcW w:w="10878" w:type="dxa"/>
            <w:vAlign w:val="top"/>
            <w:gridSpan w:val="3"/>
          </w:tcPr>
          <w:p>
            <w:pPr>
              <w:pStyle w:val="TableText"/>
              <w:ind w:left="103" w:right="102" w:firstLine="18"/>
              <w:spacing w:before="40" w:line="235" w:lineRule="auto"/>
              <w:rPr/>
            </w:pPr>
            <w:r>
              <w:rPr>
                <w:b/>
                <w:bCs/>
                <w:spacing w:val="12"/>
              </w:rPr>
              <w:t>【行政监管措施】</w:t>
            </w:r>
            <w:r>
              <w:rPr>
                <w:b/>
                <w:bCs/>
                <w:spacing w:val="-23"/>
              </w:rPr>
              <w:t xml:space="preserve"> </w:t>
            </w:r>
            <w:r>
              <w:rPr>
                <w:spacing w:val="12"/>
              </w:rPr>
              <w:t>中国证券监督管理委员会浙江监管局决定对浙江兆丰机电股份有限公司采取出具警示函的监督管</w:t>
            </w:r>
            <w:r>
              <w:rPr/>
              <w:t xml:space="preserve"> </w:t>
            </w:r>
            <w:r>
              <w:rPr>
                <w:spacing w:val="5"/>
              </w:rPr>
              <w:t>理措施， 并记入证券期货市场诚信档案。</w:t>
            </w:r>
          </w:p>
        </w:tc>
      </w:tr>
      <w:tr>
        <w:trPr>
          <w:trHeight w:val="364" w:hRule="atLeast"/>
        </w:trPr>
        <w:tc>
          <w:tcPr>
            <w:shd w:val="clear" w:fill="B8CCE4"/>
            <w:tcW w:w="1638" w:type="dxa"/>
            <w:vAlign w:val="top"/>
          </w:tcPr>
          <w:p>
            <w:pPr>
              <w:pStyle w:val="TableText"/>
              <w:ind w:left="452"/>
              <w:spacing w:before="102" w:line="176" w:lineRule="auto"/>
              <w:rPr/>
            </w:pPr>
            <w:r>
              <w:rPr>
                <w:spacing w:val="3"/>
              </w:rPr>
              <w:t>600868</w:t>
            </w:r>
          </w:p>
        </w:tc>
        <w:tc>
          <w:tcPr>
            <w:shd w:val="clear" w:fill="B8CCE4"/>
            <w:tcW w:w="1815" w:type="dxa"/>
            <w:vAlign w:val="top"/>
          </w:tcPr>
          <w:p>
            <w:pPr>
              <w:pStyle w:val="TableText"/>
              <w:ind w:left="477"/>
              <w:spacing w:before="88" w:line="186" w:lineRule="auto"/>
              <w:rPr/>
            </w:pPr>
            <w:r>
              <w:rPr>
                <w:spacing w:val="8"/>
              </w:rPr>
              <w:t>梅雁吉祥</w:t>
            </w:r>
          </w:p>
        </w:tc>
        <w:tc>
          <w:tcPr>
            <w:shd w:val="clear" w:fill="B8CCE4"/>
            <w:tcW w:w="7425" w:type="dxa"/>
            <w:vAlign w:val="top"/>
          </w:tcPr>
          <w:p>
            <w:pPr>
              <w:pStyle w:val="TableText"/>
              <w:ind w:left="100"/>
              <w:spacing w:before="88" w:line="186" w:lineRule="auto"/>
              <w:rPr/>
            </w:pPr>
            <w:r>
              <w:rPr>
                <w:spacing w:val="8"/>
              </w:rPr>
              <w:t>未及时披露</w:t>
            </w:r>
            <w:r>
              <w:rPr>
                <w:b/>
                <w:bCs/>
                <w:spacing w:val="8"/>
              </w:rPr>
              <w:t>业绩预告。</w:t>
            </w:r>
          </w:p>
        </w:tc>
      </w:tr>
      <w:tr>
        <w:trPr>
          <w:trHeight w:val="724" w:hRule="atLeast"/>
        </w:trPr>
        <w:tc>
          <w:tcPr>
            <w:tcW w:w="10878" w:type="dxa"/>
            <w:vAlign w:val="top"/>
            <w:gridSpan w:val="3"/>
          </w:tcPr>
          <w:p>
            <w:pPr>
              <w:pStyle w:val="TableText"/>
              <w:ind w:left="108" w:right="212" w:firstLine="13"/>
              <w:spacing w:before="44" w:line="234" w:lineRule="auto"/>
              <w:rPr/>
            </w:pPr>
            <w:r>
              <w:rPr>
                <w:b/>
                <w:bCs/>
                <w:spacing w:val="9"/>
              </w:rPr>
              <w:t>【行政监管措施】</w:t>
            </w:r>
            <w:r>
              <w:rPr>
                <w:b/>
                <w:bCs/>
                <w:spacing w:val="-31"/>
              </w:rPr>
              <w:t xml:space="preserve"> </w:t>
            </w:r>
            <w:r>
              <w:rPr>
                <w:spacing w:val="9"/>
              </w:rPr>
              <w:t>中国证券监督管理委员会广东监管局决定对广东梅雁吉祥水电股份有限公司及</w:t>
            </w:r>
            <w:r>
              <w:rPr>
                <w:spacing w:val="8"/>
              </w:rPr>
              <w:t>董事长,总经理张某</w:t>
            </w:r>
            <w:r>
              <w:rPr/>
              <w:t xml:space="preserve"> </w:t>
            </w:r>
            <w:r>
              <w:rPr>
                <w:spacing w:val="9"/>
              </w:rPr>
              <w:t>勇、财务总监刘某梅、董事会秘书胡某平采取出具警示函的行政监管措施。</w:t>
            </w:r>
          </w:p>
        </w:tc>
      </w:tr>
      <w:tr>
        <w:trPr>
          <w:trHeight w:val="723" w:hRule="atLeast"/>
        </w:trPr>
        <w:tc>
          <w:tcPr>
            <w:shd w:val="clear" w:fill="B8CCE4"/>
            <w:tcW w:w="1638" w:type="dxa"/>
            <w:vAlign w:val="top"/>
          </w:tcPr>
          <w:p>
            <w:pPr>
              <w:pStyle w:val="TableText"/>
              <w:ind w:left="452"/>
              <w:spacing w:before="282" w:line="179" w:lineRule="auto"/>
              <w:rPr/>
            </w:pPr>
            <w:r>
              <w:rPr>
                <w:spacing w:val="3"/>
              </w:rPr>
              <w:t>601881</w:t>
            </w:r>
          </w:p>
        </w:tc>
        <w:tc>
          <w:tcPr>
            <w:shd w:val="clear" w:fill="B8CCE4"/>
            <w:tcW w:w="1815" w:type="dxa"/>
            <w:vAlign w:val="top"/>
          </w:tcPr>
          <w:p>
            <w:pPr>
              <w:pStyle w:val="TableText"/>
              <w:ind w:left="492"/>
              <w:spacing w:before="269" w:line="189" w:lineRule="auto"/>
              <w:rPr/>
            </w:pPr>
            <w:r>
              <w:rPr>
                <w:spacing w:val="5"/>
              </w:rPr>
              <w:t>中国银河</w:t>
            </w:r>
          </w:p>
        </w:tc>
        <w:tc>
          <w:tcPr>
            <w:shd w:val="clear" w:fill="B8CCE4"/>
            <w:tcW w:w="7425" w:type="dxa"/>
            <w:vAlign w:val="top"/>
          </w:tcPr>
          <w:p>
            <w:pPr>
              <w:pStyle w:val="TableText"/>
              <w:ind w:left="98" w:right="102" w:firstLine="16"/>
              <w:spacing w:before="89" w:line="218" w:lineRule="auto"/>
              <w:rPr/>
            </w:pPr>
            <w:r>
              <w:rPr>
                <w:spacing w:val="11"/>
              </w:rPr>
              <w:t>中国银河证券股份有限公司广州番禺万博一路证券营业部员工在从业期间存在</w:t>
            </w:r>
            <w:r>
              <w:rPr>
                <w:spacing w:val="17"/>
              </w:rPr>
              <w:t xml:space="preserve"> </w:t>
            </w:r>
            <w:r>
              <w:rPr>
                <w:spacing w:val="9"/>
              </w:rPr>
              <w:t>登录与操作客户证券账户以及私下接受投资者委托买卖证券的行为。</w:t>
            </w:r>
          </w:p>
        </w:tc>
      </w:tr>
      <w:tr>
        <w:trPr>
          <w:trHeight w:val="364" w:hRule="atLeast"/>
        </w:trPr>
        <w:tc>
          <w:tcPr>
            <w:tcW w:w="10878" w:type="dxa"/>
            <w:vAlign w:val="top"/>
            <w:gridSpan w:val="3"/>
          </w:tcPr>
          <w:p>
            <w:pPr>
              <w:pStyle w:val="TableText"/>
              <w:ind w:left="122"/>
              <w:spacing w:before="49" w:line="213" w:lineRule="auto"/>
              <w:rPr/>
            </w:pPr>
            <w:r>
              <w:rPr>
                <w:b/>
                <w:bCs/>
                <w:spacing w:val="9"/>
              </w:rPr>
              <w:t>【行政监管措施】</w:t>
            </w:r>
            <w:r>
              <w:rPr>
                <w:b/>
                <w:bCs/>
                <w:spacing w:val="-31"/>
              </w:rPr>
              <w:t xml:space="preserve"> </w:t>
            </w:r>
            <w:r>
              <w:rPr>
                <w:spacing w:val="9"/>
              </w:rPr>
              <w:t>中国证券监督管理委员会广东监管局决定对谢</w:t>
            </w:r>
            <w:r>
              <w:rPr>
                <w:spacing w:val="8"/>
              </w:rPr>
              <w:t>某旺采取出具警示函的行政监管措施。</w:t>
            </w:r>
          </w:p>
        </w:tc>
      </w:tr>
      <w:tr>
        <w:trPr>
          <w:trHeight w:val="724" w:hRule="atLeast"/>
        </w:trPr>
        <w:tc>
          <w:tcPr>
            <w:shd w:val="clear" w:fill="B8CCE4"/>
            <w:tcW w:w="1638" w:type="dxa"/>
            <w:vAlign w:val="top"/>
          </w:tcPr>
          <w:p>
            <w:pPr>
              <w:pStyle w:val="TableText"/>
              <w:ind w:left="455"/>
              <w:spacing w:before="286" w:line="179" w:lineRule="auto"/>
              <w:rPr/>
            </w:pPr>
            <w:r>
              <w:rPr>
                <w:spacing w:val="3"/>
              </w:rPr>
              <w:t>300157</w:t>
            </w:r>
          </w:p>
        </w:tc>
        <w:tc>
          <w:tcPr>
            <w:shd w:val="clear" w:fill="B8CCE4"/>
            <w:tcW w:w="1815" w:type="dxa"/>
            <w:vAlign w:val="top"/>
          </w:tcPr>
          <w:p>
            <w:pPr>
              <w:pStyle w:val="TableText"/>
              <w:ind w:left="478"/>
              <w:spacing w:before="272" w:line="189" w:lineRule="auto"/>
              <w:rPr/>
            </w:pPr>
            <w:r>
              <w:rPr>
                <w:spacing w:val="8"/>
              </w:rPr>
              <w:t>新锦动力</w:t>
            </w:r>
          </w:p>
        </w:tc>
        <w:tc>
          <w:tcPr>
            <w:shd w:val="clear" w:fill="B8CCE4"/>
            <w:tcW w:w="7425" w:type="dxa"/>
            <w:vAlign w:val="top"/>
          </w:tcPr>
          <w:p>
            <w:pPr>
              <w:pStyle w:val="TableText"/>
              <w:ind w:left="100" w:right="104"/>
              <w:spacing w:before="90" w:line="218" w:lineRule="auto"/>
              <w:rPr/>
            </w:pPr>
            <w:r>
              <w:rPr>
                <w:spacing w:val="12"/>
              </w:rPr>
              <w:t>大股东银川中能新财科技有限公司未在首次卖出的十五个交易日前</w:t>
            </w:r>
            <w:r>
              <w:rPr>
                <w:spacing w:val="11"/>
              </w:rPr>
              <w:t>披露</w:t>
            </w:r>
            <w:r>
              <w:rPr>
                <w:b/>
                <w:bCs/>
                <w:spacing w:val="11"/>
              </w:rPr>
              <w:t>减持计</w:t>
            </w:r>
            <w:r>
              <w:rPr>
                <w:b/>
                <w:bCs/>
              </w:rPr>
              <w:t xml:space="preserve"> </w:t>
            </w:r>
            <w:r>
              <w:rPr>
                <w:b/>
                <w:bCs/>
                <w:spacing w:val="3"/>
              </w:rPr>
              <w:t>划。</w:t>
            </w:r>
          </w:p>
        </w:tc>
      </w:tr>
      <w:tr>
        <w:trPr>
          <w:trHeight w:val="703" w:hRule="atLeast"/>
        </w:trPr>
        <w:tc>
          <w:tcPr>
            <w:tcW w:w="10878" w:type="dxa"/>
            <w:vAlign w:val="top"/>
            <w:gridSpan w:val="3"/>
          </w:tcPr>
          <w:p>
            <w:pPr>
              <w:pStyle w:val="TableText"/>
              <w:ind w:left="122"/>
              <w:spacing w:before="215" w:line="237" w:lineRule="auto"/>
              <w:rPr/>
            </w:pPr>
            <w:r>
              <w:rPr>
                <w:b/>
                <w:bCs/>
                <w:spacing w:val="9"/>
              </w:rPr>
              <w:t>【行政监管措施】</w:t>
            </w:r>
            <w:r>
              <w:rPr>
                <w:b/>
                <w:bCs/>
                <w:spacing w:val="-32"/>
              </w:rPr>
              <w:t xml:space="preserve"> </w:t>
            </w:r>
            <w:r>
              <w:rPr>
                <w:spacing w:val="9"/>
              </w:rPr>
              <w:t>中国证券监督管理委员会北京监管局决定对银川中能新财科技有限公司采取出具警示函的行</w:t>
            </w:r>
            <w:r>
              <w:rPr>
                <w:spacing w:val="8"/>
              </w:rPr>
              <w:t>政监</w:t>
            </w:r>
          </w:p>
        </w:tc>
      </w:tr>
    </w:tbl>
    <w:p>
      <w:pPr>
        <w:pStyle w:val="BodyText"/>
        <w:rPr/>
      </w:pPr>
      <w:r/>
    </w:p>
    <w:p>
      <w:pPr>
        <w:sectPr>
          <w:pgSz w:w="11910" w:h="16840"/>
          <w:pgMar w:top="400" w:right="608" w:bottom="0" w:left="0" w:header="0" w:footer="0" w:gutter="0"/>
        </w:sectPr>
        <w:rPr/>
      </w:pPr>
    </w:p>
    <w:tbl>
      <w:tblPr>
        <w:tblStyle w:val="TableNormal"/>
        <w:tblW w:w="10878" w:type="dxa"/>
        <w:tblInd w:w="7"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638"/>
        <w:gridCol w:w="1815"/>
        <w:gridCol w:w="7425"/>
      </w:tblGrid>
      <w:tr>
        <w:trPr>
          <w:trHeight w:val="706" w:hRule="atLeast"/>
        </w:trPr>
        <w:tc>
          <w:tcPr>
            <w:tcW w:w="10878" w:type="dxa"/>
            <w:vAlign w:val="top"/>
            <w:gridSpan w:val="3"/>
            <w:tcBorders>
              <w:top w:val="single" w:color="FFFFFF" w:sz="2" w:space="0"/>
            </w:tcBorders>
          </w:tcPr>
          <w:p>
            <w:pPr>
              <w:pStyle w:val="TableText"/>
              <w:ind w:left="105"/>
              <w:spacing w:before="101" w:line="190" w:lineRule="auto"/>
              <w:rPr/>
            </w:pPr>
            <w:r>
              <w:rPr>
                <w:spacing w:val="6"/>
              </w:rPr>
              <w:t>管措施， 并将相关情况记入证券期货市场诚信档案。</w:t>
            </w:r>
          </w:p>
        </w:tc>
      </w:tr>
      <w:tr>
        <w:trPr>
          <w:trHeight w:val="1085" w:hRule="atLeast"/>
        </w:trPr>
        <w:tc>
          <w:tcPr>
            <w:shd w:val="clear" w:fill="B8CCE4"/>
            <w:tcW w:w="1638" w:type="dxa"/>
            <w:vAlign w:val="top"/>
          </w:tcPr>
          <w:p>
            <w:pPr>
              <w:spacing w:line="367" w:lineRule="auto"/>
              <w:rPr>
                <w:rFonts w:ascii="Arial"/>
                <w:sz w:val="21"/>
              </w:rPr>
            </w:pPr>
            <w:r/>
          </w:p>
          <w:p>
            <w:pPr>
              <w:pStyle w:val="TableText"/>
              <w:ind w:left="449"/>
              <w:spacing w:before="86" w:line="179" w:lineRule="auto"/>
              <w:rPr/>
            </w:pPr>
            <w:r>
              <w:rPr>
                <w:spacing w:val="3"/>
              </w:rPr>
              <w:t>002181</w:t>
            </w:r>
          </w:p>
        </w:tc>
        <w:tc>
          <w:tcPr>
            <w:shd w:val="clear" w:fill="B8CCE4"/>
            <w:tcW w:w="1815" w:type="dxa"/>
            <w:vAlign w:val="top"/>
          </w:tcPr>
          <w:p>
            <w:pPr>
              <w:spacing w:line="354" w:lineRule="auto"/>
              <w:rPr>
                <w:rFonts w:ascii="Arial"/>
                <w:sz w:val="21"/>
              </w:rPr>
            </w:pPr>
            <w:r/>
          </w:p>
          <w:p>
            <w:pPr>
              <w:pStyle w:val="TableText"/>
              <w:ind w:left="587"/>
              <w:spacing w:before="86" w:line="189" w:lineRule="auto"/>
              <w:rPr/>
            </w:pPr>
            <w:r>
              <w:rPr>
                <w:spacing w:val="7"/>
              </w:rPr>
              <w:t>粤传媒</w:t>
            </w:r>
          </w:p>
        </w:tc>
        <w:tc>
          <w:tcPr>
            <w:shd w:val="clear" w:fill="B8CCE4"/>
            <w:tcW w:w="7425" w:type="dxa"/>
            <w:vAlign w:val="top"/>
          </w:tcPr>
          <w:p>
            <w:pPr>
              <w:pStyle w:val="TableText"/>
              <w:ind w:left="99" w:right="102" w:firstLine="1"/>
              <w:spacing w:before="79" w:line="232" w:lineRule="auto"/>
              <w:jc w:val="both"/>
              <w:rPr/>
            </w:pPr>
            <w:r>
              <w:rPr>
                <w:spacing w:val="25"/>
              </w:rPr>
              <w:t>存在</w:t>
            </w:r>
            <w:r>
              <w:rPr>
                <w:b/>
                <w:bCs/>
                <w:spacing w:val="25"/>
              </w:rPr>
              <w:t>会计差错更正及追溯调整</w:t>
            </w:r>
            <w:r>
              <w:rPr>
                <w:spacing w:val="25"/>
              </w:rPr>
              <w:t>事项且导致广东广州日报传媒股份有限公司</w:t>
            </w:r>
            <w:r>
              <w:rPr>
                <w:spacing w:val="6"/>
              </w:rPr>
              <w:t xml:space="preserve"> </w:t>
            </w:r>
            <w:r>
              <w:rPr>
                <w:spacing w:val="12"/>
              </w:rPr>
              <w:t>2024年1月31日披露的</w:t>
            </w:r>
            <w:r>
              <w:rPr>
                <w:b/>
                <w:bCs/>
                <w:spacing w:val="12"/>
              </w:rPr>
              <w:t>业绩预告</w:t>
            </w:r>
            <w:r>
              <w:rPr>
                <w:spacing w:val="12"/>
              </w:rPr>
              <w:t>与2023年年度报</w:t>
            </w:r>
            <w:r>
              <w:rPr>
                <w:spacing w:val="11"/>
              </w:rPr>
              <w:t>告差异较大， 相关信息披露</w:t>
            </w:r>
            <w:r>
              <w:rPr/>
              <w:t xml:space="preserve"> </w:t>
            </w:r>
            <w:r>
              <w:rPr>
                <w:spacing w:val="6"/>
              </w:rPr>
              <w:t>不准确。</w:t>
            </w:r>
          </w:p>
        </w:tc>
      </w:tr>
      <w:tr>
        <w:trPr>
          <w:trHeight w:val="724" w:hRule="atLeast"/>
        </w:trPr>
        <w:tc>
          <w:tcPr>
            <w:tcW w:w="10878" w:type="dxa"/>
            <w:vAlign w:val="top"/>
            <w:gridSpan w:val="3"/>
          </w:tcPr>
          <w:p>
            <w:pPr>
              <w:pStyle w:val="TableText"/>
              <w:ind w:left="105" w:right="263" w:firstLine="17"/>
              <w:spacing w:before="39" w:line="236" w:lineRule="auto"/>
              <w:rPr/>
            </w:pPr>
            <w:r>
              <w:rPr>
                <w:b/>
                <w:bCs/>
                <w:spacing w:val="9"/>
              </w:rPr>
              <w:t>【行政监管措施】</w:t>
            </w:r>
            <w:r>
              <w:rPr>
                <w:b/>
                <w:bCs/>
                <w:spacing w:val="-32"/>
              </w:rPr>
              <w:t xml:space="preserve"> </w:t>
            </w:r>
            <w:r>
              <w:rPr>
                <w:spacing w:val="9"/>
              </w:rPr>
              <w:t>中国证券监督管理委员会广东监管局决定对广东广州日报传媒股份有限公司采取出具警示函</w:t>
            </w:r>
            <w:r>
              <w:rPr>
                <w:spacing w:val="8"/>
              </w:rPr>
              <w:t>的行</w:t>
            </w:r>
            <w:r>
              <w:rPr/>
              <w:t xml:space="preserve"> </w:t>
            </w:r>
            <w:r>
              <w:rPr>
                <w:spacing w:val="7"/>
              </w:rPr>
              <w:t>政监管措施。</w:t>
            </w:r>
          </w:p>
        </w:tc>
      </w:tr>
      <w:tr>
        <w:trPr>
          <w:trHeight w:val="2235" w:hRule="atLeast"/>
        </w:trPr>
        <w:tc>
          <w:tcPr>
            <w:shd w:val="clear" w:fill="B8CCE4"/>
            <w:tcW w:w="1638" w:type="dxa"/>
            <w:vAlign w:val="top"/>
          </w:tcPr>
          <w:p>
            <w:pPr>
              <w:spacing w:line="313" w:lineRule="auto"/>
              <w:rPr>
                <w:rFonts w:ascii="Arial"/>
                <w:sz w:val="21"/>
              </w:rPr>
            </w:pPr>
            <w:r/>
          </w:p>
          <w:p>
            <w:pPr>
              <w:spacing w:line="314" w:lineRule="auto"/>
              <w:rPr>
                <w:rFonts w:ascii="Arial"/>
                <w:sz w:val="21"/>
              </w:rPr>
            </w:pPr>
            <w:r/>
          </w:p>
          <w:p>
            <w:pPr>
              <w:spacing w:line="314" w:lineRule="auto"/>
              <w:rPr>
                <w:rFonts w:ascii="Arial"/>
                <w:sz w:val="21"/>
              </w:rPr>
            </w:pPr>
            <w:r/>
          </w:p>
          <w:p>
            <w:pPr>
              <w:pStyle w:val="TableText"/>
              <w:ind w:left="452"/>
              <w:spacing w:before="86" w:line="179" w:lineRule="auto"/>
              <w:rPr/>
            </w:pPr>
            <w:r>
              <w:rPr>
                <w:spacing w:val="3"/>
              </w:rPr>
              <w:t>600721</w:t>
            </w:r>
          </w:p>
        </w:tc>
        <w:tc>
          <w:tcPr>
            <w:shd w:val="clear" w:fill="B8CCE4"/>
            <w:tcW w:w="1815" w:type="dxa"/>
            <w:vAlign w:val="top"/>
          </w:tcPr>
          <w:p>
            <w:pPr>
              <w:spacing w:line="309" w:lineRule="auto"/>
              <w:rPr>
                <w:rFonts w:ascii="Arial"/>
                <w:sz w:val="21"/>
              </w:rPr>
            </w:pPr>
            <w:r/>
          </w:p>
          <w:p>
            <w:pPr>
              <w:spacing w:line="309" w:lineRule="auto"/>
              <w:rPr>
                <w:rFonts w:ascii="Arial"/>
                <w:sz w:val="21"/>
              </w:rPr>
            </w:pPr>
            <w:r/>
          </w:p>
          <w:p>
            <w:pPr>
              <w:spacing w:line="310" w:lineRule="auto"/>
              <w:rPr>
                <w:rFonts w:ascii="Arial"/>
                <w:sz w:val="21"/>
              </w:rPr>
            </w:pPr>
            <w:r/>
          </w:p>
          <w:p>
            <w:pPr>
              <w:pStyle w:val="TableText"/>
              <w:ind w:left="480"/>
              <w:spacing w:before="86" w:line="189" w:lineRule="auto"/>
              <w:rPr/>
            </w:pPr>
            <w:r>
              <w:rPr>
                <w:spacing w:val="8"/>
              </w:rPr>
              <w:t>百花医药</w:t>
            </w:r>
          </w:p>
        </w:tc>
        <w:tc>
          <w:tcPr>
            <w:shd w:val="clear" w:fill="B8CCE4"/>
            <w:tcW w:w="7425" w:type="dxa"/>
            <w:vAlign w:val="top"/>
          </w:tcPr>
          <w:p>
            <w:pPr>
              <w:pStyle w:val="TableText"/>
              <w:ind w:left="103"/>
              <w:spacing w:before="154" w:line="190" w:lineRule="auto"/>
              <w:rPr/>
            </w:pPr>
            <w:r>
              <w:rPr>
                <w:spacing w:val="5"/>
              </w:rPr>
              <w:t>百花医药于2024年2月21日获得</w:t>
            </w:r>
            <w:r>
              <w:rPr>
                <w:b/>
                <w:bCs/>
                <w:spacing w:val="5"/>
              </w:rPr>
              <w:t>控股股东工商变更</w:t>
            </w:r>
            <w:r>
              <w:rPr>
                <w:spacing w:val="5"/>
              </w:rPr>
              <w:t>信息， 并知晓相关事项， 迟</w:t>
            </w:r>
          </w:p>
          <w:p>
            <w:pPr>
              <w:pStyle w:val="TableText"/>
              <w:ind w:left="102"/>
              <w:spacing w:before="51" w:line="233" w:lineRule="auto"/>
              <w:rPr/>
            </w:pPr>
            <w:r>
              <w:rPr>
                <w:spacing w:val="9"/>
              </w:rPr>
              <w:t>至2024年3月2日才发布《关于控股股东增资暨公司增加实际控制人的公</w:t>
            </w:r>
          </w:p>
          <w:p>
            <w:pPr>
              <w:pStyle w:val="TableText"/>
              <w:ind w:left="101" w:right="152" w:firstLine="2"/>
              <w:spacing w:before="24" w:line="243" w:lineRule="auto"/>
              <w:rPr/>
            </w:pPr>
            <w:r>
              <w:rPr>
                <w:spacing w:val="7"/>
              </w:rPr>
              <w:t>告》</w:t>
            </w:r>
            <w:r>
              <w:rPr>
                <w:spacing w:val="-33"/>
              </w:rPr>
              <w:t xml:space="preserve"> </w:t>
            </w:r>
            <w:r>
              <w:rPr>
                <w:spacing w:val="7"/>
              </w:rPr>
              <w:t>。华凌控股、华凌工贸及相关责任人未将相关事项主动告知公司， 且未按</w:t>
            </w:r>
            <w:r>
              <w:rPr/>
              <w:t xml:space="preserve"> </w:t>
            </w:r>
            <w:r>
              <w:rPr>
                <w:spacing w:val="7"/>
              </w:rPr>
              <w:t>规则要求及时聘请财务顾问， 致使公司迟至2024年3月2日才披露控股股东增</w:t>
            </w:r>
            <w:r>
              <w:rPr>
                <w:spacing w:val="3"/>
              </w:rPr>
              <w:t xml:space="preserve">   </w:t>
            </w:r>
            <w:r>
              <w:rPr>
                <w:spacing w:val="7"/>
              </w:rPr>
              <w:t>资暨公司增加实际控制人的公告和详式权益变动报告书， 并于2024年3月14日</w:t>
            </w:r>
            <w:r>
              <w:rPr>
                <w:spacing w:val="9"/>
              </w:rPr>
              <w:t xml:space="preserve"> </w:t>
            </w:r>
            <w:r>
              <w:rPr>
                <w:spacing w:val="8"/>
              </w:rPr>
              <w:t>才披露财务顾问核查意见。</w:t>
            </w:r>
          </w:p>
        </w:tc>
      </w:tr>
      <w:tr>
        <w:trPr>
          <w:trHeight w:val="1084" w:hRule="atLeast"/>
        </w:trPr>
        <w:tc>
          <w:tcPr>
            <w:tcW w:w="10878" w:type="dxa"/>
            <w:vAlign w:val="top"/>
            <w:gridSpan w:val="3"/>
          </w:tcPr>
          <w:p>
            <w:pPr>
              <w:pStyle w:val="TableText"/>
              <w:ind w:left="106" w:right="102" w:firstLine="15"/>
              <w:spacing w:before="44"/>
              <w:jc w:val="both"/>
              <w:rPr/>
            </w:pPr>
            <w:r>
              <w:rPr>
                <w:b/>
                <w:bCs/>
                <w:spacing w:val="16"/>
              </w:rPr>
              <w:t>【行政监管措施】</w:t>
            </w:r>
            <w:r>
              <w:rPr>
                <w:b/>
                <w:bCs/>
                <w:spacing w:val="-7"/>
              </w:rPr>
              <w:t xml:space="preserve"> </w:t>
            </w:r>
            <w:r>
              <w:rPr>
                <w:spacing w:val="16"/>
              </w:rPr>
              <w:t>中国证券监督管理委员会新疆监管局决定对新疆百花村医药集团股份有限公司、新疆华凌工贸</w:t>
            </w:r>
            <w:r>
              <w:rPr/>
              <w:t xml:space="preserve"> </w:t>
            </w:r>
            <w:r>
              <w:rPr>
                <w:spacing w:val="9"/>
              </w:rPr>
              <w:t>（集团） 有限公司、华凌集团投资控股 （新疆） 有限公司及实际控制人米某齐、米某华、杨某玲采取出</w:t>
            </w:r>
            <w:r>
              <w:rPr>
                <w:spacing w:val="8"/>
              </w:rPr>
              <w:t>具警示函的</w:t>
            </w:r>
            <w:r>
              <w:rPr/>
              <w:t xml:space="preserve"> </w:t>
            </w:r>
            <w:r>
              <w:rPr>
                <w:spacing w:val="5"/>
              </w:rPr>
              <w:t>监督管理措施， 并记入资本市场诚信档案。</w:t>
            </w:r>
          </w:p>
        </w:tc>
      </w:tr>
      <w:tr>
        <w:trPr>
          <w:trHeight w:val="725" w:hRule="atLeast"/>
        </w:trPr>
        <w:tc>
          <w:tcPr>
            <w:shd w:val="clear" w:fill="B8CCE4"/>
            <w:tcW w:w="1638" w:type="dxa"/>
            <w:vAlign w:val="top"/>
          </w:tcPr>
          <w:p>
            <w:pPr>
              <w:pStyle w:val="TableText"/>
              <w:ind w:left="452"/>
              <w:spacing w:before="281" w:line="179" w:lineRule="auto"/>
              <w:rPr/>
            </w:pPr>
            <w:r>
              <w:rPr>
                <w:spacing w:val="3"/>
              </w:rPr>
              <w:t>600251</w:t>
            </w:r>
          </w:p>
        </w:tc>
        <w:tc>
          <w:tcPr>
            <w:shd w:val="clear" w:fill="B8CCE4"/>
            <w:tcW w:w="1815" w:type="dxa"/>
            <w:vAlign w:val="top"/>
          </w:tcPr>
          <w:p>
            <w:pPr>
              <w:pStyle w:val="TableText"/>
              <w:ind w:left="479"/>
              <w:spacing w:before="269" w:line="188" w:lineRule="auto"/>
              <w:rPr/>
            </w:pPr>
            <w:r>
              <w:rPr>
                <w:spacing w:val="8"/>
              </w:rPr>
              <w:t>冠农股份</w:t>
            </w:r>
          </w:p>
        </w:tc>
        <w:tc>
          <w:tcPr>
            <w:shd w:val="clear" w:fill="B8CCE4"/>
            <w:tcW w:w="7425" w:type="dxa"/>
            <w:vAlign w:val="top"/>
          </w:tcPr>
          <w:p>
            <w:pPr>
              <w:pStyle w:val="TableText"/>
              <w:ind w:left="107" w:right="102" w:hanging="7"/>
              <w:spacing w:before="51" w:line="232" w:lineRule="auto"/>
              <w:rPr/>
            </w:pPr>
            <w:r>
              <w:rPr>
                <w:spacing w:val="8"/>
              </w:rPr>
              <w:t>希格玛会计师事务所 （特殊普通合伙） 、注册会计师在新疆冠农股份有限公司</w:t>
            </w:r>
            <w:r>
              <w:rPr/>
              <w:t xml:space="preserve"> </w:t>
            </w:r>
            <w:r>
              <w:rPr>
                <w:b/>
                <w:bCs/>
                <w:spacing w:val="8"/>
              </w:rPr>
              <w:t>2021年财务报告审计项目</w:t>
            </w:r>
            <w:r>
              <w:rPr>
                <w:spacing w:val="8"/>
              </w:rPr>
              <w:t>执业中存在问题。</w:t>
            </w:r>
          </w:p>
        </w:tc>
      </w:tr>
      <w:tr>
        <w:trPr>
          <w:trHeight w:val="724" w:hRule="atLeast"/>
        </w:trPr>
        <w:tc>
          <w:tcPr>
            <w:tcW w:w="10878" w:type="dxa"/>
            <w:vAlign w:val="top"/>
            <w:gridSpan w:val="3"/>
          </w:tcPr>
          <w:p>
            <w:pPr>
              <w:pStyle w:val="TableText"/>
              <w:ind w:left="104" w:right="263" w:firstLine="17"/>
              <w:spacing w:before="44" w:line="234" w:lineRule="auto"/>
              <w:rPr/>
            </w:pPr>
            <w:r>
              <w:rPr>
                <w:b/>
                <w:bCs/>
                <w:spacing w:val="6"/>
              </w:rPr>
              <w:t>【行政监管措施】</w:t>
            </w:r>
            <w:r>
              <w:rPr>
                <w:b/>
                <w:bCs/>
                <w:spacing w:val="-14"/>
              </w:rPr>
              <w:t xml:space="preserve"> </w:t>
            </w:r>
            <w:r>
              <w:rPr>
                <w:spacing w:val="6"/>
              </w:rPr>
              <w:t>中国证券监督管理委员会新疆监管局决定对希格玛会计师事务所 （特殊普通合伙） 、注册会计师</w:t>
            </w:r>
            <w:r>
              <w:rPr/>
              <w:t xml:space="preserve"> </w:t>
            </w:r>
            <w:r>
              <w:rPr>
                <w:spacing w:val="7"/>
              </w:rPr>
              <w:t>采取出具警示函的监督管理措施， 并记入资本市场诚信档</w:t>
            </w:r>
            <w:r>
              <w:rPr>
                <w:spacing w:val="6"/>
              </w:rPr>
              <w:t>案。</w:t>
            </w:r>
          </w:p>
        </w:tc>
      </w:tr>
      <w:tr>
        <w:trPr>
          <w:trHeight w:val="364" w:hRule="atLeast"/>
        </w:trPr>
        <w:tc>
          <w:tcPr>
            <w:shd w:val="clear" w:fill="B8CCE4"/>
            <w:tcW w:w="1638" w:type="dxa"/>
            <w:vAlign w:val="top"/>
          </w:tcPr>
          <w:p>
            <w:pPr>
              <w:pStyle w:val="TableText"/>
              <w:ind w:left="449"/>
              <w:spacing w:before="103" w:line="175" w:lineRule="auto"/>
              <w:rPr/>
            </w:pPr>
            <w:r>
              <w:rPr>
                <w:spacing w:val="3"/>
              </w:rPr>
              <w:t>002325</w:t>
            </w:r>
          </w:p>
        </w:tc>
        <w:tc>
          <w:tcPr>
            <w:shd w:val="clear" w:fill="B8CCE4"/>
            <w:tcW w:w="1815" w:type="dxa"/>
            <w:vAlign w:val="top"/>
          </w:tcPr>
          <w:p>
            <w:pPr>
              <w:pStyle w:val="TableText"/>
              <w:ind w:left="526"/>
              <w:spacing w:before="90" w:line="184" w:lineRule="auto"/>
              <w:rPr/>
            </w:pPr>
            <w:r>
              <w:rPr>
                <w:spacing w:val="8"/>
              </w:rPr>
              <w:t>*</w:t>
            </w:r>
            <w:r>
              <w:rPr/>
              <w:t>ST</w:t>
            </w:r>
            <w:r>
              <w:rPr>
                <w:spacing w:val="8"/>
              </w:rPr>
              <w:t>洪涛</w:t>
            </w:r>
          </w:p>
        </w:tc>
        <w:tc>
          <w:tcPr>
            <w:shd w:val="clear" w:fill="B8CCE4"/>
            <w:tcW w:w="7425" w:type="dxa"/>
            <w:vAlign w:val="top"/>
          </w:tcPr>
          <w:p>
            <w:pPr>
              <w:pStyle w:val="TableText"/>
              <w:ind w:left="101"/>
              <w:spacing w:before="89" w:line="185" w:lineRule="auto"/>
              <w:rPr/>
            </w:pPr>
            <w:r>
              <w:rPr>
                <w:spacing w:val="9"/>
              </w:rPr>
              <w:t>深圳洪涛集团股份有限公司在“洪涛股份”</w:t>
            </w:r>
            <w:r>
              <w:rPr>
                <w:b/>
                <w:bCs/>
                <w:spacing w:val="9"/>
              </w:rPr>
              <w:t>微信公众号发布未公开信息。</w:t>
            </w:r>
          </w:p>
        </w:tc>
      </w:tr>
      <w:tr>
        <w:trPr>
          <w:trHeight w:val="725" w:hRule="atLeast"/>
        </w:trPr>
        <w:tc>
          <w:tcPr>
            <w:tcW w:w="10878" w:type="dxa"/>
            <w:vAlign w:val="top"/>
            <w:gridSpan w:val="3"/>
          </w:tcPr>
          <w:p>
            <w:pPr>
              <w:pStyle w:val="TableText"/>
              <w:ind w:left="104" w:right="472" w:firstLine="18"/>
              <w:spacing w:before="48" w:line="233" w:lineRule="auto"/>
              <w:rPr/>
            </w:pPr>
            <w:r>
              <w:rPr>
                <w:b/>
                <w:bCs/>
                <w:spacing w:val="9"/>
              </w:rPr>
              <w:t>【行政监管措施】</w:t>
            </w:r>
            <w:r>
              <w:rPr>
                <w:b/>
                <w:bCs/>
                <w:spacing w:val="-31"/>
              </w:rPr>
              <w:t xml:space="preserve"> </w:t>
            </w:r>
            <w:r>
              <w:rPr>
                <w:spacing w:val="9"/>
              </w:rPr>
              <w:t>中国证券监督管理委员会深圳监管局决定对深圳洪涛集团股份有限公司采取责令改正的监</w:t>
            </w:r>
            <w:r>
              <w:rPr>
                <w:spacing w:val="8"/>
              </w:rPr>
              <w:t>管措</w:t>
            </w:r>
            <w:r>
              <w:rPr/>
              <w:t xml:space="preserve"> </w:t>
            </w:r>
            <w:r>
              <w:rPr>
                <w:spacing w:val="3"/>
              </w:rPr>
              <w:t>施。</w:t>
            </w:r>
          </w:p>
        </w:tc>
      </w:tr>
      <w:tr>
        <w:trPr>
          <w:trHeight w:val="1084" w:hRule="atLeast"/>
        </w:trPr>
        <w:tc>
          <w:tcPr>
            <w:shd w:val="clear" w:fill="B8CCE4"/>
            <w:tcW w:w="1638" w:type="dxa"/>
            <w:vAlign w:val="top"/>
          </w:tcPr>
          <w:p>
            <w:pPr>
              <w:spacing w:line="378" w:lineRule="auto"/>
              <w:rPr>
                <w:rFonts w:ascii="Arial"/>
                <w:sz w:val="21"/>
              </w:rPr>
            </w:pPr>
            <w:r/>
          </w:p>
          <w:p>
            <w:pPr>
              <w:pStyle w:val="TableText"/>
              <w:ind w:left="455"/>
              <w:spacing w:before="86" w:line="178" w:lineRule="auto"/>
              <w:rPr/>
            </w:pPr>
            <w:r>
              <w:rPr>
                <w:spacing w:val="3"/>
              </w:rPr>
              <w:t>300093</w:t>
            </w:r>
          </w:p>
        </w:tc>
        <w:tc>
          <w:tcPr>
            <w:shd w:val="clear" w:fill="B8CCE4"/>
            <w:tcW w:w="1815" w:type="dxa"/>
            <w:vAlign w:val="top"/>
          </w:tcPr>
          <w:p>
            <w:pPr>
              <w:spacing w:line="365" w:lineRule="auto"/>
              <w:rPr>
                <w:rFonts w:ascii="Arial"/>
                <w:sz w:val="21"/>
              </w:rPr>
            </w:pPr>
            <w:r/>
          </w:p>
          <w:p>
            <w:pPr>
              <w:pStyle w:val="TableText"/>
              <w:ind w:left="477"/>
              <w:spacing w:before="85" w:line="188" w:lineRule="auto"/>
              <w:rPr/>
            </w:pPr>
            <w:r>
              <w:rPr>
                <w:spacing w:val="9"/>
              </w:rPr>
              <w:t>金刚光伏</w:t>
            </w:r>
          </w:p>
        </w:tc>
        <w:tc>
          <w:tcPr>
            <w:shd w:val="clear" w:fill="B8CCE4"/>
            <w:tcW w:w="7425" w:type="dxa"/>
            <w:vAlign w:val="top"/>
          </w:tcPr>
          <w:p>
            <w:pPr>
              <w:pStyle w:val="TableText"/>
              <w:ind w:left="101" w:right="102"/>
              <w:spacing w:before="53" w:line="238" w:lineRule="auto"/>
              <w:jc w:val="both"/>
              <w:rPr/>
            </w:pPr>
            <w:r>
              <w:rPr>
                <w:spacing w:val="15"/>
              </w:rPr>
              <w:t>必达控股集团有限公司受让甘肃金刚光伏股份有限公司原持股5%以上</w:t>
            </w:r>
            <w:r>
              <w:rPr>
                <w:spacing w:val="14"/>
              </w:rPr>
              <w:t>股东何</w:t>
            </w:r>
            <w:r>
              <w:rPr/>
              <w:t xml:space="preserve"> </w:t>
            </w:r>
            <w:r>
              <w:rPr>
                <w:spacing w:val="10"/>
              </w:rPr>
              <w:t>某雄通过</w:t>
            </w:r>
            <w:r>
              <w:rPr>
                <w:b/>
                <w:bCs/>
                <w:spacing w:val="10"/>
              </w:rPr>
              <w:t>大宗交易</w:t>
            </w:r>
            <w:r>
              <w:rPr>
                <w:spacing w:val="10"/>
              </w:rPr>
              <w:t>减持的216.50万股金刚光伏股份,并在</w:t>
            </w:r>
            <w:r>
              <w:rPr>
                <w:b/>
                <w:bCs/>
                <w:spacing w:val="10"/>
              </w:rPr>
              <w:t>受让后6个月内</w:t>
            </w:r>
            <w:r>
              <w:rPr>
                <w:spacing w:val="10"/>
              </w:rPr>
              <w:t>全部卖</w:t>
            </w:r>
            <w:r>
              <w:rPr>
                <w:spacing w:val="18"/>
                <w:w w:val="101"/>
              </w:rPr>
              <w:t xml:space="preserve"> </w:t>
            </w:r>
            <w:r>
              <w:rPr>
                <w:spacing w:val="2"/>
              </w:rPr>
              <w:t>出。</w:t>
            </w:r>
          </w:p>
        </w:tc>
      </w:tr>
      <w:tr>
        <w:trPr>
          <w:trHeight w:val="725" w:hRule="atLeast"/>
        </w:trPr>
        <w:tc>
          <w:tcPr>
            <w:tcW w:w="10878" w:type="dxa"/>
            <w:vAlign w:val="top"/>
            <w:gridSpan w:val="3"/>
          </w:tcPr>
          <w:p>
            <w:pPr>
              <w:pStyle w:val="TableText"/>
              <w:ind w:left="106" w:right="210" w:firstLine="15"/>
              <w:spacing w:before="51" w:line="232" w:lineRule="auto"/>
              <w:rPr/>
            </w:pPr>
            <w:r>
              <w:rPr>
                <w:b/>
                <w:bCs/>
                <w:spacing w:val="9"/>
              </w:rPr>
              <w:t>【行政监管措施】</w:t>
            </w:r>
            <w:r>
              <w:rPr>
                <w:b/>
                <w:bCs/>
                <w:spacing w:val="-31"/>
              </w:rPr>
              <w:t xml:space="preserve"> </w:t>
            </w:r>
            <w:r>
              <w:rPr>
                <w:spacing w:val="9"/>
              </w:rPr>
              <w:t>中国证券监督管理委员会甘肃监管局决定对必达控股集团有限公司采取责令改正的</w:t>
            </w:r>
            <w:r>
              <w:rPr>
                <w:spacing w:val="8"/>
              </w:rPr>
              <w:t>行政监管措施,</w:t>
            </w:r>
            <w:r>
              <w:rPr/>
              <w:t xml:space="preserve"> </w:t>
            </w:r>
            <w:r>
              <w:rPr>
                <w:spacing w:val="8"/>
              </w:rPr>
              <w:t>并记入证券期货市场诚信档案。</w:t>
            </w:r>
          </w:p>
        </w:tc>
      </w:tr>
      <w:tr>
        <w:trPr>
          <w:trHeight w:val="1084" w:hRule="atLeast"/>
        </w:trPr>
        <w:tc>
          <w:tcPr>
            <w:shd w:val="clear" w:fill="B8CCE4"/>
            <w:tcW w:w="1638" w:type="dxa"/>
            <w:vAlign w:val="top"/>
          </w:tcPr>
          <w:p>
            <w:pPr>
              <w:spacing w:line="380" w:lineRule="auto"/>
              <w:rPr>
                <w:rFonts w:ascii="Arial"/>
                <w:sz w:val="21"/>
              </w:rPr>
            </w:pPr>
            <w:r/>
          </w:p>
          <w:p>
            <w:pPr>
              <w:pStyle w:val="TableText"/>
              <w:ind w:left="450"/>
              <w:spacing w:before="85" w:line="178" w:lineRule="auto"/>
              <w:rPr/>
            </w:pPr>
            <w:r>
              <w:rPr>
                <w:spacing w:val="3"/>
              </w:rPr>
              <w:t>873570</w:t>
            </w:r>
          </w:p>
        </w:tc>
        <w:tc>
          <w:tcPr>
            <w:shd w:val="clear" w:fill="B8CCE4"/>
            <w:tcW w:w="1815" w:type="dxa"/>
            <w:vAlign w:val="top"/>
          </w:tcPr>
          <w:p>
            <w:pPr>
              <w:spacing w:line="366" w:lineRule="auto"/>
              <w:rPr>
                <w:rFonts w:ascii="Arial"/>
                <w:sz w:val="21"/>
              </w:rPr>
            </w:pPr>
            <w:r/>
          </w:p>
          <w:p>
            <w:pPr>
              <w:pStyle w:val="TableText"/>
              <w:ind w:left="478"/>
              <w:spacing w:before="86" w:line="188" w:lineRule="auto"/>
              <w:rPr/>
            </w:pPr>
            <w:r>
              <w:rPr>
                <w:spacing w:val="8"/>
              </w:rPr>
              <w:t>坤博精工</w:t>
            </w:r>
          </w:p>
        </w:tc>
        <w:tc>
          <w:tcPr>
            <w:shd w:val="clear" w:fill="B8CCE4"/>
            <w:tcW w:w="7425" w:type="dxa"/>
            <w:vAlign w:val="top"/>
          </w:tcPr>
          <w:p>
            <w:pPr>
              <w:pStyle w:val="TableText"/>
              <w:ind w:left="101" w:right="104" w:firstLine="8"/>
              <w:spacing w:before="91" w:line="229" w:lineRule="auto"/>
              <w:jc w:val="both"/>
              <w:rPr/>
            </w:pPr>
            <w:r>
              <w:rPr>
                <w:spacing w:val="11"/>
              </w:rPr>
              <w:t>2023年12月及2024年3月， 公司使用募集资金置换前期以信用证方式投入募</w:t>
            </w:r>
            <w:r>
              <w:rPr>
                <w:spacing w:val="15"/>
                <w:w w:val="101"/>
              </w:rPr>
              <w:t xml:space="preserve"> </w:t>
            </w:r>
            <w:r>
              <w:rPr>
                <w:spacing w:val="12"/>
              </w:rPr>
              <w:t>投项目的自筹资金1,467万元， 公司</w:t>
            </w:r>
            <w:r>
              <w:rPr>
                <w:spacing w:val="11"/>
              </w:rPr>
              <w:t>未及时履行置换事项审议程序及信息披露</w:t>
            </w:r>
            <w:r>
              <w:rPr/>
              <w:t xml:space="preserve"> </w:t>
            </w:r>
            <w:r>
              <w:rPr>
                <w:spacing w:val="5"/>
              </w:rPr>
              <w:t>义务， 迟至2024年4月28日补充审议， </w:t>
            </w:r>
            <w:r>
              <w:rPr>
                <w:spacing w:val="4"/>
              </w:rPr>
              <w:t>并于2024年4月29日补充披露。</w:t>
            </w:r>
          </w:p>
        </w:tc>
      </w:tr>
      <w:tr>
        <w:trPr>
          <w:trHeight w:val="735" w:hRule="atLeast"/>
        </w:trPr>
        <w:tc>
          <w:tcPr>
            <w:tcW w:w="10878" w:type="dxa"/>
            <w:vAlign w:val="top"/>
            <w:gridSpan w:val="3"/>
          </w:tcPr>
          <w:p>
            <w:pPr>
              <w:pStyle w:val="TableText"/>
              <w:ind w:left="104" w:right="263" w:firstLine="18"/>
              <w:spacing w:before="52" w:line="235" w:lineRule="auto"/>
              <w:rPr/>
            </w:pPr>
            <w:r>
              <w:rPr>
                <w:b/>
                <w:bCs/>
                <w:spacing w:val="9"/>
              </w:rPr>
              <w:t>【行政监管措施】</w:t>
            </w:r>
            <w:r>
              <w:rPr>
                <w:b/>
                <w:bCs/>
                <w:spacing w:val="-32"/>
              </w:rPr>
              <w:t xml:space="preserve"> </w:t>
            </w:r>
            <w:r>
              <w:rPr>
                <w:spacing w:val="9"/>
              </w:rPr>
              <w:t>中国证券监督管理委员会浙江监管局决定对公司及相关责任人分别采取出具警示函的监督管</w:t>
            </w:r>
            <w:r>
              <w:rPr>
                <w:spacing w:val="8"/>
              </w:rPr>
              <w:t>理措</w:t>
            </w:r>
            <w:r>
              <w:rPr/>
              <w:t xml:space="preserve"> </w:t>
            </w:r>
            <w:r>
              <w:rPr>
                <w:spacing w:val="5"/>
              </w:rPr>
              <w:t>施， 并记入证券期货市场诚信档案。</w:t>
            </w:r>
          </w:p>
        </w:tc>
      </w:tr>
    </w:tbl>
    <w:p>
      <w:pPr>
        <w:pStyle w:val="BodyText"/>
        <w:spacing w:line="292" w:lineRule="auto"/>
        <w:rPr/>
      </w:pPr>
      <w:r/>
    </w:p>
    <w:p>
      <w:pPr>
        <w:pStyle w:val="BodyText"/>
        <w:spacing w:line="293" w:lineRule="auto"/>
        <w:rPr/>
      </w:pPr>
      <w:r/>
    </w:p>
    <w:p>
      <w:pPr>
        <w:ind w:left="547"/>
        <w:spacing w:before="103" w:line="225" w:lineRule="auto"/>
        <w:outlineLvl w:val="1"/>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14"/>
        </w:rPr>
        <w:t>（3） 立案调查</w:t>
      </w:r>
    </w:p>
    <w:p>
      <w:pPr>
        <w:spacing w:line="185" w:lineRule="exact"/>
        <w:rPr/>
      </w:pPr>
      <w:r/>
    </w:p>
    <w:tbl>
      <w:tblPr>
        <w:tblStyle w:val="TableNormal"/>
        <w:tblW w:w="10878" w:type="dxa"/>
        <w:tblInd w:w="7"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638"/>
        <w:gridCol w:w="1815"/>
        <w:gridCol w:w="7425"/>
      </w:tblGrid>
      <w:tr>
        <w:trPr>
          <w:trHeight w:val="385" w:hRule="atLeast"/>
        </w:trPr>
        <w:tc>
          <w:tcPr>
            <w:shd w:val="clear" w:fill="4F81BD"/>
            <w:tcW w:w="1638" w:type="dxa"/>
            <w:vAlign w:val="top"/>
            <w:tcBorders>
              <w:bottom w:val="single" w:color="FFFFFF" w:sz="2" w:space="0"/>
            </w:tcBorders>
          </w:tcPr>
          <w:p>
            <w:pPr>
              <w:pStyle w:val="TableText"/>
              <w:ind w:left="394"/>
              <w:spacing w:before="109" w:line="186" w:lineRule="auto"/>
              <w:rPr/>
            </w:pPr>
            <w:r>
              <w:rPr>
                <w:b/>
                <w:bCs/>
                <w:color w:val="FFFFFF"/>
                <w:spacing w:val="8"/>
              </w:rPr>
              <w:t>公司代码</w:t>
            </w:r>
          </w:p>
        </w:tc>
        <w:tc>
          <w:tcPr>
            <w:shd w:val="clear" w:fill="4F81BD"/>
            <w:tcW w:w="1815" w:type="dxa"/>
            <w:vAlign w:val="top"/>
            <w:tcBorders>
              <w:bottom w:val="single" w:color="FFFFFF" w:sz="2" w:space="0"/>
            </w:tcBorders>
          </w:tcPr>
          <w:p>
            <w:pPr>
              <w:pStyle w:val="TableText"/>
              <w:ind w:left="479"/>
              <w:spacing w:before="110" w:line="185" w:lineRule="auto"/>
              <w:rPr/>
            </w:pPr>
            <w:r>
              <w:rPr>
                <w:b/>
                <w:bCs/>
                <w:color w:val="FFFFFF"/>
                <w:spacing w:val="8"/>
              </w:rPr>
              <w:t>公司简称</w:t>
            </w:r>
          </w:p>
        </w:tc>
        <w:tc>
          <w:tcPr>
            <w:shd w:val="clear" w:fill="4F81BD"/>
            <w:tcW w:w="7425" w:type="dxa"/>
            <w:vAlign w:val="top"/>
            <w:tcBorders>
              <w:bottom w:val="single" w:color="FFFFFF" w:sz="2" w:space="0"/>
            </w:tcBorders>
          </w:tcPr>
          <w:p>
            <w:pPr>
              <w:pStyle w:val="TableText"/>
              <w:ind w:left="3286"/>
              <w:spacing w:before="109" w:line="186" w:lineRule="auto"/>
              <w:rPr/>
            </w:pPr>
            <w:r>
              <w:rPr>
                <w:b/>
                <w:bCs/>
                <w:color w:val="FFFFFF"/>
                <w:spacing w:val="8"/>
              </w:rPr>
              <w:t>违规行为</w:t>
            </w:r>
          </w:p>
        </w:tc>
      </w:tr>
      <w:tr>
        <w:trPr>
          <w:trHeight w:val="725" w:hRule="atLeast"/>
        </w:trPr>
        <w:tc>
          <w:tcPr>
            <w:tcW w:w="1638" w:type="dxa"/>
            <w:vAlign w:val="top"/>
            <w:tcBorders>
              <w:top w:val="single" w:color="FFFFFF" w:sz="2" w:space="0"/>
            </w:tcBorders>
          </w:tcPr>
          <w:p>
            <w:pPr>
              <w:pStyle w:val="TableText"/>
              <w:ind w:left="452"/>
              <w:spacing w:before="279" w:line="179" w:lineRule="auto"/>
              <w:rPr/>
            </w:pPr>
            <w:r>
              <w:rPr>
                <w:spacing w:val="3"/>
              </w:rPr>
              <w:t>600811</w:t>
            </w:r>
          </w:p>
        </w:tc>
        <w:tc>
          <w:tcPr>
            <w:tcW w:w="1815" w:type="dxa"/>
            <w:vAlign w:val="top"/>
            <w:tcBorders>
              <w:top w:val="single" w:color="FFFFFF" w:sz="2" w:space="0"/>
            </w:tcBorders>
          </w:tcPr>
          <w:p>
            <w:pPr>
              <w:pStyle w:val="TableText"/>
              <w:ind w:left="477"/>
              <w:spacing w:before="266" w:line="189" w:lineRule="auto"/>
              <w:rPr/>
            </w:pPr>
            <w:r>
              <w:rPr>
                <w:spacing w:val="8"/>
              </w:rPr>
              <w:t>东方集团</w:t>
            </w:r>
          </w:p>
        </w:tc>
        <w:tc>
          <w:tcPr>
            <w:tcW w:w="7425" w:type="dxa"/>
            <w:vAlign w:val="top"/>
            <w:tcBorders>
              <w:top w:val="single" w:color="FFFFFF" w:sz="2" w:space="0"/>
            </w:tcBorders>
          </w:tcPr>
          <w:p>
            <w:pPr>
              <w:pStyle w:val="TableText"/>
              <w:ind w:left="100" w:right="174" w:firstLine="14"/>
              <w:spacing w:before="48" w:line="233" w:lineRule="auto"/>
              <w:rPr/>
            </w:pPr>
            <w:r>
              <w:rPr>
                <w:spacing w:val="7"/>
              </w:rPr>
              <w:t>因公司</w:t>
            </w:r>
            <w:r>
              <w:rPr>
                <w:b/>
                <w:bCs/>
                <w:spacing w:val="7"/>
              </w:rPr>
              <w:t>涉嫌信息披露违法违规</w:t>
            </w:r>
            <w:r>
              <w:rPr>
                <w:spacing w:val="7"/>
              </w:rPr>
              <w:t>， 根据《中华人民共和国证券法》《中华人民共</w:t>
            </w:r>
            <w:r>
              <w:rPr>
                <w:spacing w:val="15"/>
              </w:rPr>
              <w:t xml:space="preserve"> </w:t>
            </w:r>
            <w:r>
              <w:rPr>
                <w:spacing w:val="7"/>
              </w:rPr>
              <w:t>和国行政处罚法》等法律法规， 中国证监会决定对公司立</w:t>
            </w:r>
            <w:r>
              <w:rPr>
                <w:spacing w:val="6"/>
              </w:rPr>
              <w:t>案。</w:t>
            </w:r>
          </w:p>
        </w:tc>
      </w:tr>
      <w:tr>
        <w:trPr>
          <w:trHeight w:val="1088" w:hRule="atLeast"/>
        </w:trPr>
        <w:tc>
          <w:tcPr>
            <w:shd w:val="clear" w:fill="C7DAF1"/>
            <w:tcW w:w="1638" w:type="dxa"/>
            <w:vAlign w:val="top"/>
          </w:tcPr>
          <w:p>
            <w:pPr>
              <w:spacing w:line="373" w:lineRule="auto"/>
              <w:rPr>
                <w:rFonts w:ascii="Arial"/>
                <w:sz w:val="21"/>
              </w:rPr>
            </w:pPr>
            <w:r/>
          </w:p>
          <w:p>
            <w:pPr>
              <w:pStyle w:val="TableText"/>
              <w:ind w:left="450"/>
              <w:spacing w:before="86" w:line="179" w:lineRule="auto"/>
              <w:rPr/>
            </w:pPr>
            <w:r>
              <w:rPr>
                <w:spacing w:val="3"/>
              </w:rPr>
              <w:t>831503</w:t>
            </w:r>
          </w:p>
        </w:tc>
        <w:tc>
          <w:tcPr>
            <w:shd w:val="clear" w:fill="C7DAF1"/>
            <w:tcW w:w="1815" w:type="dxa"/>
            <w:vAlign w:val="top"/>
          </w:tcPr>
          <w:p>
            <w:pPr>
              <w:spacing w:line="358" w:lineRule="auto"/>
              <w:rPr>
                <w:rFonts w:ascii="Arial"/>
                <w:sz w:val="21"/>
              </w:rPr>
            </w:pPr>
            <w:r/>
          </w:p>
          <w:p>
            <w:pPr>
              <w:pStyle w:val="TableText"/>
              <w:ind w:left="471"/>
              <w:spacing w:before="86" w:line="190" w:lineRule="auto"/>
              <w:rPr/>
            </w:pPr>
            <w:r>
              <w:rPr/>
              <w:t>ST</w:t>
            </w:r>
            <w:r>
              <w:rPr>
                <w:spacing w:val="9"/>
              </w:rPr>
              <w:t>广安生</w:t>
            </w:r>
          </w:p>
        </w:tc>
        <w:tc>
          <w:tcPr>
            <w:shd w:val="clear" w:fill="C7DAF1"/>
            <w:tcW w:w="7425" w:type="dxa"/>
            <w:vAlign w:val="top"/>
          </w:tcPr>
          <w:p>
            <w:pPr>
              <w:pStyle w:val="TableText"/>
              <w:ind w:left="99" w:right="174" w:firstLine="15"/>
              <w:spacing w:before="91" w:line="230" w:lineRule="auto"/>
              <w:rPr/>
            </w:pPr>
            <w:r>
              <w:rPr>
                <w:spacing w:val="7"/>
              </w:rPr>
              <w:t>因河南广安生物科技股份有限公司未在规定期限内披露2023年年度报告， </w:t>
            </w:r>
            <w:r>
              <w:rPr>
                <w:b/>
                <w:bCs/>
                <w:spacing w:val="7"/>
              </w:rPr>
              <w:t>涉</w:t>
            </w:r>
            <w:r>
              <w:rPr>
                <w:b/>
                <w:bCs/>
              </w:rPr>
              <w:t xml:space="preserve">   </w:t>
            </w:r>
            <w:r>
              <w:rPr>
                <w:b/>
                <w:bCs/>
                <w:spacing w:val="8"/>
              </w:rPr>
              <w:t>嫌信息披露违法违规</w:t>
            </w:r>
            <w:r>
              <w:rPr>
                <w:spacing w:val="8"/>
              </w:rPr>
              <w:t>， 根据《中华人民共和国证券法》《中华人民</w:t>
            </w:r>
            <w:r>
              <w:rPr>
                <w:spacing w:val="7"/>
              </w:rPr>
              <w:t>共和国行政</w:t>
            </w:r>
            <w:r>
              <w:rPr/>
              <w:t xml:space="preserve"> </w:t>
            </w:r>
            <w:r>
              <w:rPr>
                <w:spacing w:val="6"/>
              </w:rPr>
              <w:t>处罚法》等法律法规， 近日， 中国证券监督管理委员会决</w:t>
            </w:r>
            <w:r>
              <w:rPr>
                <w:spacing w:val="5"/>
              </w:rPr>
              <w:t>定对公司进行立案。</w:t>
            </w:r>
          </w:p>
        </w:tc>
      </w:tr>
    </w:tbl>
    <w:p>
      <w:pPr>
        <w:pStyle w:val="BodyText"/>
        <w:rPr/>
      </w:pPr>
      <w:r/>
    </w:p>
    <w:p>
      <w:pPr>
        <w:sectPr>
          <w:pgSz w:w="11910" w:h="16840"/>
          <w:pgMar w:top="400" w:right="608" w:bottom="0" w:left="408" w:header="0" w:footer="0" w:gutter="0"/>
        </w:sectPr>
        <w:rPr/>
      </w:pPr>
    </w:p>
    <w:p>
      <w:pPr>
        <w:pStyle w:val="BodyText"/>
        <w:spacing w:line="261" w:lineRule="auto"/>
        <w:rPr/>
      </w:pPr>
      <w:r/>
    </w:p>
    <w:p>
      <w:pPr>
        <w:pStyle w:val="BodyText"/>
        <w:spacing w:line="261" w:lineRule="auto"/>
        <w:rPr/>
      </w:pPr>
      <w:r/>
    </w:p>
    <w:p>
      <w:pPr>
        <w:pStyle w:val="BodyText"/>
        <w:spacing w:line="261" w:lineRule="auto"/>
        <w:rPr/>
      </w:pPr>
      <w:r/>
    </w:p>
    <w:p>
      <w:pPr>
        <w:spacing w:line="924" w:lineRule="exact"/>
        <w:rPr/>
      </w:pPr>
      <w:r>
        <w:rPr>
          <w:position w:val="-18"/>
        </w:rPr>
        <w:pict>
          <v:group id="_x0000_s24" style="mso-position-vertical-relative:line;mso-position-horizontal-relative:char;width:134.8pt;height:46.25pt;" filled="false" stroked="false" coordsize="2696,925" coordorigin="0,0">
            <v:shape id="_x0000_s26" style="position:absolute;left:0;top:0;width:2696;height:925;" filled="false" stroked="false" type="#_x0000_t75">
              <v:imagedata o:title="" r:id="rId16"/>
            </v:shape>
            <v:shape id="_x0000_s28" style="position:absolute;left:-20;top:-20;width:2736;height:965;" filled="false" stroked="false" type="#_x0000_t202">
              <v:fill on="false"/>
              <v:stroke on="false"/>
              <v:path/>
              <v:imagedata o:title=""/>
              <o:lock v:ext="edit" aspectratio="false"/>
              <v:textbox inset="0mm,0mm,0mm,0mm">
                <w:txbxContent>
                  <w:p>
                    <w:pPr>
                      <w:ind w:left="373"/>
                      <w:spacing w:before="246" w:line="183" w:lineRule="auto"/>
                      <w:rPr>
                        <w:rFonts w:ascii="Microsoft YaHei" w:hAnsi="Microsoft YaHei" w:eastAsia="Microsoft YaHei" w:cs="Microsoft YaHei"/>
                        <w:sz w:val="28"/>
                        <w:szCs w:val="28"/>
                      </w:rPr>
                    </w:pPr>
                    <w:r>
                      <w:rPr>
                        <w:rFonts w:ascii="Microsoft YaHei" w:hAnsi="Microsoft YaHei" w:eastAsia="Microsoft YaHei" w:cs="Microsoft YaHei"/>
                        <w:sz w:val="28"/>
                        <w:szCs w:val="28"/>
                        <w:b/>
                        <w:bCs/>
                        <w:color w:val="FFFFFF"/>
                        <w:spacing w:val="-1"/>
                      </w:rPr>
                      <w:t>上交所监管动态</w:t>
                    </w:r>
                  </w:p>
                </w:txbxContent>
              </v:textbox>
            </v:shape>
          </v:group>
        </w:pict>
      </w:r>
    </w:p>
    <w:p>
      <w:pPr>
        <w:ind w:left="902"/>
        <w:spacing w:before="152" w:line="183"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5"/>
        </w:rPr>
        <w:t>1、上市公司监管动态</w:t>
      </w:r>
    </w:p>
    <w:p>
      <w:pPr>
        <w:ind w:left="459" w:firstLine="473"/>
        <w:spacing w:before="172" w:line="359" w:lineRule="auto"/>
        <w:rPr>
          <w:rFonts w:ascii="Microsoft YaHei" w:hAnsi="Microsoft YaHei" w:eastAsia="Microsoft YaHei" w:cs="Microsoft YaHei"/>
          <w:sz w:val="24"/>
          <w:szCs w:val="24"/>
        </w:rPr>
      </w:pPr>
      <w:r>
        <w:rPr>
          <w:rFonts w:ascii="Microsoft YaHei" w:hAnsi="Microsoft YaHei" w:eastAsia="Microsoft YaHei" w:cs="Microsoft YaHei"/>
          <w:sz w:val="24"/>
          <w:szCs w:val="24"/>
        </w:rPr>
        <w:t>2024年6月17日-6月23日， 上交所公司监管部门作出6份监管警示函， 对6宗行为予以纪</w:t>
      </w:r>
      <w:r>
        <w:rPr>
          <w:rFonts w:ascii="Microsoft YaHei" w:hAnsi="Microsoft YaHei" w:eastAsia="Microsoft YaHei" w:cs="Microsoft YaHei"/>
          <w:sz w:val="24"/>
          <w:szCs w:val="24"/>
          <w:spacing w:val="-1"/>
        </w:rPr>
        <w:t>律处分。</w:t>
      </w:r>
      <w:r>
        <w:rPr>
          <w:rFonts w:ascii="Microsoft YaHei" w:hAnsi="Microsoft YaHei" w:eastAsia="Microsoft YaHei" w:cs="Microsoft YaHei"/>
          <w:sz w:val="24"/>
          <w:szCs w:val="24"/>
        </w:rPr>
        <w:t xml:space="preserve"> </w:t>
      </w:r>
      <w:r>
        <w:rPr>
          <w:rFonts w:ascii="Microsoft YaHei" w:hAnsi="Microsoft YaHei" w:eastAsia="Microsoft YaHei" w:cs="Microsoft YaHei"/>
          <w:sz w:val="24"/>
          <w:szCs w:val="24"/>
          <w:spacing w:val="-4"/>
        </w:rPr>
        <w:t>同时， 加大信息披露和股价异常的联动监管， 针对公司披露敏感信息或股</w:t>
      </w:r>
      <w:r>
        <w:rPr>
          <w:rFonts w:ascii="Microsoft YaHei" w:hAnsi="Microsoft YaHei" w:eastAsia="Microsoft YaHei" w:cs="Microsoft YaHei"/>
          <w:sz w:val="24"/>
          <w:szCs w:val="24"/>
          <w:spacing w:val="-5"/>
        </w:rPr>
        <w:t>价发生明显异常的， 提请启动</w:t>
      </w:r>
      <w:r>
        <w:rPr>
          <w:rFonts w:ascii="Microsoft YaHei" w:hAnsi="Microsoft YaHei" w:eastAsia="Microsoft YaHei" w:cs="Microsoft YaHei"/>
          <w:sz w:val="24"/>
          <w:szCs w:val="24"/>
        </w:rPr>
        <w:t xml:space="preserve"> </w:t>
      </w:r>
      <w:r>
        <w:rPr>
          <w:rFonts w:ascii="Microsoft YaHei" w:hAnsi="Microsoft YaHei" w:eastAsia="Microsoft YaHei" w:cs="Microsoft YaHei"/>
          <w:sz w:val="24"/>
          <w:szCs w:val="24"/>
          <w:spacing w:val="-2"/>
        </w:rPr>
        <w:t>内幕交易、异常交易核查5单。</w:t>
      </w:r>
    </w:p>
    <w:p>
      <w:pPr>
        <w:pStyle w:val="BodyText"/>
        <w:spacing w:line="269" w:lineRule="auto"/>
        <w:rPr/>
      </w:pPr>
      <w:r/>
    </w:p>
    <w:p>
      <w:pPr>
        <w:ind w:firstLine="1731"/>
        <w:spacing w:line="5184" w:lineRule="exact"/>
        <w:rPr/>
      </w:pPr>
      <w:r>
        <w:rPr>
          <w:position w:val="-103"/>
        </w:rPr>
        <w:drawing>
          <wp:inline distT="0" distB="0" distL="0" distR="0">
            <wp:extent cx="5495925" cy="3291840"/>
            <wp:effectExtent l="0" t="0" r="0" b="0"/>
            <wp:docPr id="26" name="IM 26"/>
            <wp:cNvGraphicFramePr/>
            <a:graphic>
              <a:graphicData uri="http://schemas.openxmlformats.org/drawingml/2006/picture">
                <pic:pic>
                  <pic:nvPicPr>
                    <pic:cNvPr id="26" name="IM 26"/>
                    <pic:cNvPicPr/>
                  </pic:nvPicPr>
                  <pic:blipFill>
                    <a:blip r:embed="rId17"/>
                    <a:stretch>
                      <a:fillRect/>
                    </a:stretch>
                  </pic:blipFill>
                  <pic:spPr>
                    <a:xfrm rot="0">
                      <a:off x="0" y="0"/>
                      <a:ext cx="5495925" cy="3291840"/>
                    </a:xfrm>
                    <a:prstGeom prst="rect">
                      <a:avLst/>
                    </a:prstGeom>
                  </pic:spPr>
                </pic:pic>
              </a:graphicData>
            </a:graphic>
          </wp:inline>
        </w:drawing>
      </w:r>
    </w:p>
    <w:p>
      <w:pPr>
        <w:pStyle w:val="BodyText"/>
        <w:spacing w:line="246" w:lineRule="auto"/>
        <w:rPr/>
      </w:pPr>
      <w:r/>
    </w:p>
    <w:p>
      <w:pPr>
        <w:pStyle w:val="BodyText"/>
        <w:spacing w:line="246" w:lineRule="auto"/>
        <w:rPr/>
      </w:pPr>
      <w:r/>
    </w:p>
    <w:p>
      <w:pPr>
        <w:pStyle w:val="BodyText"/>
        <w:spacing w:line="246" w:lineRule="auto"/>
        <w:rPr/>
      </w:pPr>
      <w:r/>
    </w:p>
    <w:p>
      <w:pPr>
        <w:ind w:left="956"/>
        <w:spacing w:before="103" w:line="225" w:lineRule="auto"/>
        <w:outlineLvl w:val="1"/>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11"/>
        </w:rPr>
        <w:t>（1） 监管措施统计</w:t>
      </w:r>
    </w:p>
    <w:p>
      <w:pPr>
        <w:spacing w:before="52"/>
        <w:rPr/>
      </w:pPr>
      <w:r/>
    </w:p>
    <w:p>
      <w:pPr>
        <w:spacing w:before="51"/>
        <w:rPr/>
      </w:pPr>
      <w:r/>
    </w:p>
    <w:tbl>
      <w:tblPr>
        <w:tblStyle w:val="TableNormal"/>
        <w:tblW w:w="8819" w:type="dxa"/>
        <w:tblInd w:w="1665" w:type="dxa"/>
        <w:tblLayout w:type="fixed"/>
        <w:tblBorders>
          <w:top w:val="single" w:color="C0504D" w:sz="6" w:space="0"/>
          <w:left w:val="single" w:color="C0504D" w:sz="6" w:space="0"/>
          <w:bottom w:val="single" w:color="C0504D" w:sz="6" w:space="0"/>
          <w:right w:val="single" w:color="C0504D" w:sz="6" w:space="0"/>
          <w:insideH w:val="single" w:color="C0504D" w:sz="6" w:space="0"/>
          <w:insideV w:val="single" w:color="C0504D" w:sz="6" w:space="0"/>
        </w:tblBorders>
      </w:tblPr>
      <w:tblGrid>
        <w:gridCol w:w="1276"/>
        <w:gridCol w:w="1215"/>
        <w:gridCol w:w="1324"/>
        <w:gridCol w:w="5004"/>
      </w:tblGrid>
      <w:tr>
        <w:trPr>
          <w:trHeight w:val="378" w:hRule="atLeast"/>
        </w:trPr>
        <w:tc>
          <w:tcPr>
            <w:shd w:val="clear" w:fill="C0504D"/>
            <w:tcW w:w="1276" w:type="dxa"/>
            <w:vAlign w:val="top"/>
            <w:tcBorders>
              <w:bottom w:val="single" w:color="FFFFFF" w:sz="10" w:space="0"/>
            </w:tcBorders>
          </w:tcPr>
          <w:p>
            <w:pPr>
              <w:pStyle w:val="TableText"/>
              <w:ind w:left="212"/>
              <w:spacing w:before="92" w:line="189" w:lineRule="auto"/>
              <w:rPr/>
            </w:pPr>
            <w:r>
              <w:rPr>
                <w:b/>
                <w:bCs/>
                <w:color w:val="FFFFFF"/>
                <w:spacing w:val="8"/>
              </w:rPr>
              <w:t>公司代码</w:t>
            </w:r>
          </w:p>
        </w:tc>
        <w:tc>
          <w:tcPr>
            <w:shd w:val="clear" w:fill="C0504D"/>
            <w:tcW w:w="1215" w:type="dxa"/>
            <w:vAlign w:val="top"/>
            <w:tcBorders>
              <w:bottom w:val="single" w:color="FFFFFF" w:sz="10" w:space="0"/>
            </w:tcBorders>
          </w:tcPr>
          <w:p>
            <w:pPr>
              <w:pStyle w:val="TableText"/>
              <w:ind w:left="179"/>
              <w:spacing w:before="92" w:line="189" w:lineRule="auto"/>
              <w:rPr/>
            </w:pPr>
            <w:r>
              <w:rPr>
                <w:b/>
                <w:bCs/>
                <w:color w:val="FFFFFF"/>
                <w:spacing w:val="8"/>
              </w:rPr>
              <w:t>公司简称</w:t>
            </w:r>
          </w:p>
        </w:tc>
        <w:tc>
          <w:tcPr>
            <w:shd w:val="clear" w:fill="C0504D"/>
            <w:tcW w:w="1324" w:type="dxa"/>
            <w:vAlign w:val="top"/>
            <w:tcBorders>
              <w:bottom w:val="single" w:color="FFFFFF" w:sz="10" w:space="0"/>
            </w:tcBorders>
          </w:tcPr>
          <w:p>
            <w:pPr>
              <w:pStyle w:val="TableText"/>
              <w:ind w:left="246"/>
              <w:spacing w:before="94" w:line="188" w:lineRule="auto"/>
              <w:rPr/>
            </w:pPr>
            <w:r>
              <w:rPr>
                <w:b/>
                <w:bCs/>
                <w:color w:val="FFFFFF"/>
                <w:spacing w:val="5"/>
              </w:rPr>
              <w:t>函件类别</w:t>
            </w:r>
          </w:p>
        </w:tc>
        <w:tc>
          <w:tcPr>
            <w:shd w:val="clear" w:fill="C0504D"/>
            <w:tcW w:w="5004" w:type="dxa"/>
            <w:vAlign w:val="top"/>
            <w:tcBorders>
              <w:bottom w:val="single" w:color="FFFFFF" w:sz="10" w:space="0"/>
            </w:tcBorders>
          </w:tcPr>
          <w:p>
            <w:pPr>
              <w:pStyle w:val="TableText"/>
              <w:ind w:left="2074"/>
              <w:spacing w:before="92" w:line="189" w:lineRule="auto"/>
              <w:rPr/>
            </w:pPr>
            <w:r>
              <w:rPr>
                <w:b/>
                <w:bCs/>
                <w:color w:val="FFFFFF"/>
                <w:spacing w:val="8"/>
              </w:rPr>
              <w:t>违规类型</w:t>
            </w:r>
          </w:p>
        </w:tc>
      </w:tr>
      <w:tr>
        <w:trPr>
          <w:trHeight w:val="1436" w:hRule="atLeast"/>
        </w:trPr>
        <w:tc>
          <w:tcPr>
            <w:tcW w:w="1276" w:type="dxa"/>
            <w:vAlign w:val="top"/>
            <w:tcBorders>
              <w:top w:val="single" w:color="FFFFFF" w:sz="10" w:space="0"/>
            </w:tcBorders>
          </w:tcPr>
          <w:p>
            <w:pPr>
              <w:pStyle w:val="TableText"/>
              <w:ind w:left="270"/>
              <w:spacing w:before="93" w:line="178" w:lineRule="auto"/>
              <w:rPr/>
            </w:pPr>
            <w:r>
              <w:rPr>
                <w:spacing w:val="3"/>
              </w:rPr>
              <w:t>600338</w:t>
            </w:r>
          </w:p>
        </w:tc>
        <w:tc>
          <w:tcPr>
            <w:tcW w:w="1215" w:type="dxa"/>
            <w:vAlign w:val="top"/>
            <w:tcBorders>
              <w:top w:val="single" w:color="FFFFFF" w:sz="10" w:space="0"/>
            </w:tcBorders>
          </w:tcPr>
          <w:p>
            <w:pPr>
              <w:pStyle w:val="TableText"/>
              <w:ind w:left="181"/>
              <w:spacing w:before="78" w:line="189" w:lineRule="auto"/>
              <w:rPr/>
            </w:pPr>
            <w:r>
              <w:rPr>
                <w:spacing w:val="8"/>
              </w:rPr>
              <w:t>西藏珠峰</w:t>
            </w:r>
          </w:p>
        </w:tc>
        <w:tc>
          <w:tcPr>
            <w:tcW w:w="1324" w:type="dxa"/>
            <w:vAlign w:val="top"/>
            <w:tcBorders>
              <w:top w:val="single" w:color="FFFFFF" w:sz="10" w:space="0"/>
            </w:tcBorders>
          </w:tcPr>
          <w:p>
            <w:pPr>
              <w:pStyle w:val="TableText"/>
              <w:ind w:left="234"/>
              <w:spacing w:before="79" w:line="188" w:lineRule="auto"/>
              <w:rPr/>
            </w:pPr>
            <w:r>
              <w:rPr>
                <w:spacing w:val="8"/>
              </w:rPr>
              <w:t>通报批评</w:t>
            </w:r>
          </w:p>
        </w:tc>
        <w:tc>
          <w:tcPr>
            <w:tcW w:w="5004" w:type="dxa"/>
            <w:vAlign w:val="top"/>
            <w:tcBorders>
              <w:top w:val="single" w:color="FFFFFF" w:sz="10" w:space="0"/>
            </w:tcBorders>
          </w:tcPr>
          <w:p>
            <w:pPr>
              <w:pStyle w:val="TableText"/>
              <w:ind w:left="1" w:right="159" w:firstLine="1"/>
              <w:spacing w:before="76" w:line="236" w:lineRule="auto"/>
              <w:jc w:val="both"/>
              <w:rPr/>
            </w:pPr>
            <w:r>
              <w:rPr>
                <w:spacing w:val="7"/>
              </w:rPr>
              <w:t>公司在</w:t>
            </w:r>
            <w:r>
              <w:rPr>
                <w:b/>
                <w:bCs/>
                <w:spacing w:val="7"/>
              </w:rPr>
              <w:t>短期内反复出现公告文本文字错误</w:t>
            </w:r>
            <w:r>
              <w:rPr>
                <w:spacing w:val="7"/>
              </w:rPr>
              <w:t>， 信息</w:t>
            </w:r>
            <w:r>
              <w:rPr>
                <w:spacing w:val="6"/>
              </w:rPr>
              <w:t>披露</w:t>
            </w:r>
            <w:r>
              <w:rPr/>
              <w:t xml:space="preserve"> </w:t>
            </w:r>
            <w:r>
              <w:rPr>
                <w:spacing w:val="3"/>
              </w:rPr>
              <w:t>不准确，</w:t>
            </w:r>
            <w:r>
              <w:rPr>
                <w:spacing w:val="36"/>
              </w:rPr>
              <w:t xml:space="preserve"> </w:t>
            </w:r>
            <w:r>
              <w:rPr>
                <w:spacing w:val="3"/>
              </w:rPr>
              <w:t>内控机制严重缺失， 且在监管警示后仍屡次</w:t>
            </w:r>
            <w:r>
              <w:rPr/>
              <w:t xml:space="preserve"> </w:t>
            </w:r>
            <w:r>
              <w:rPr>
                <w:spacing w:val="4"/>
              </w:rPr>
              <w:t>发生此类违规情形， 完全无视信息披露基本要求， 性</w:t>
            </w:r>
            <w:r>
              <w:rPr>
                <w:spacing w:val="8"/>
              </w:rPr>
              <w:t xml:space="preserve"> </w:t>
            </w:r>
            <w:r>
              <w:rPr>
                <w:spacing w:val="1"/>
              </w:rPr>
              <w:t>质恶劣， 情节严重。</w:t>
            </w:r>
          </w:p>
        </w:tc>
      </w:tr>
      <w:tr>
        <w:trPr>
          <w:trHeight w:val="1800" w:hRule="atLeast"/>
        </w:trPr>
        <w:tc>
          <w:tcPr>
            <w:shd w:val="clear" w:fill="F2DCDC"/>
            <w:tcW w:w="1276" w:type="dxa"/>
            <w:vAlign w:val="top"/>
          </w:tcPr>
          <w:p>
            <w:pPr>
              <w:pStyle w:val="TableText"/>
              <w:ind w:left="270"/>
              <w:spacing w:before="103" w:line="178" w:lineRule="auto"/>
              <w:rPr/>
            </w:pPr>
            <w:r>
              <w:rPr>
                <w:spacing w:val="3"/>
              </w:rPr>
              <w:t>603666</w:t>
            </w:r>
          </w:p>
        </w:tc>
        <w:tc>
          <w:tcPr>
            <w:shd w:val="clear" w:fill="F2DCDC"/>
            <w:tcW w:w="1215" w:type="dxa"/>
            <w:vAlign w:val="top"/>
          </w:tcPr>
          <w:p>
            <w:pPr>
              <w:pStyle w:val="TableText"/>
              <w:ind w:left="283"/>
              <w:spacing w:before="90" w:line="188" w:lineRule="auto"/>
              <w:rPr/>
            </w:pPr>
            <w:r>
              <w:rPr>
                <w:spacing w:val="8"/>
              </w:rPr>
              <w:t>亿嘉和</w:t>
            </w:r>
          </w:p>
        </w:tc>
        <w:tc>
          <w:tcPr>
            <w:shd w:val="clear" w:fill="F2DCDC"/>
            <w:tcW w:w="1324" w:type="dxa"/>
            <w:vAlign w:val="top"/>
          </w:tcPr>
          <w:p>
            <w:pPr>
              <w:pStyle w:val="TableText"/>
              <w:ind w:left="234"/>
              <w:spacing w:before="90" w:line="188" w:lineRule="auto"/>
              <w:rPr/>
            </w:pPr>
            <w:r>
              <w:rPr>
                <w:spacing w:val="8"/>
              </w:rPr>
              <w:t>通报批评</w:t>
            </w:r>
          </w:p>
        </w:tc>
        <w:tc>
          <w:tcPr>
            <w:shd w:val="clear" w:fill="F2DCDC"/>
            <w:tcW w:w="5004" w:type="dxa"/>
            <w:vAlign w:val="top"/>
          </w:tcPr>
          <w:p>
            <w:pPr>
              <w:pStyle w:val="TableText"/>
              <w:ind w:left="2"/>
              <w:spacing w:before="87" w:line="190" w:lineRule="auto"/>
              <w:rPr/>
            </w:pPr>
            <w:r>
              <w:rPr>
                <w:spacing w:val="7"/>
              </w:rPr>
              <w:t>公司 2023 年年度</w:t>
            </w:r>
            <w:r>
              <w:rPr>
                <w:b/>
                <w:bCs/>
                <w:spacing w:val="7"/>
              </w:rPr>
              <w:t>业绩预告</w:t>
            </w:r>
            <w:r>
              <w:rPr>
                <w:spacing w:val="7"/>
              </w:rPr>
              <w:t>中预计实现净利润为正</w:t>
            </w:r>
          </w:p>
          <w:p>
            <w:pPr>
              <w:pStyle w:val="TableText"/>
              <w:ind w:left="2" w:right="159"/>
              <w:spacing w:before="88" w:line="250" w:lineRule="auto"/>
              <w:rPr/>
            </w:pPr>
            <w:r>
              <w:rPr>
                <w:spacing w:val="4"/>
              </w:rPr>
              <w:t>值， 但实际净利润为负值， 实际业绩与预告业绩相比</w:t>
            </w:r>
            <w:r>
              <w:rPr>
                <w:spacing w:val="7"/>
              </w:rPr>
              <w:t xml:space="preserve"> </w:t>
            </w:r>
            <w:r>
              <w:rPr>
                <w:spacing w:val="6"/>
              </w:rPr>
              <w:t>发生盈亏方向的变化， 影响投资者的合理</w:t>
            </w:r>
            <w:r>
              <w:rPr>
                <w:spacing w:val="5"/>
              </w:rPr>
              <w:t>预期。</w:t>
            </w:r>
            <w:r>
              <w:rPr>
                <w:spacing w:val="-30"/>
              </w:rPr>
              <w:t xml:space="preserve"> </w:t>
            </w:r>
            <w:r>
              <w:rPr>
                <w:spacing w:val="5"/>
              </w:rPr>
              <w:t>同</w:t>
            </w:r>
          </w:p>
          <w:p>
            <w:pPr>
              <w:pStyle w:val="TableText"/>
              <w:ind w:left="2" w:right="44" w:firstLine="8"/>
              <w:spacing w:before="6" w:line="217" w:lineRule="auto"/>
              <w:rPr/>
            </w:pPr>
            <w:r>
              <w:rPr>
                <w:spacing w:val="2"/>
              </w:rPr>
              <w:t>时， 公司迟至 2024 年 4 月 29</w:t>
            </w:r>
            <w:r>
              <w:rPr>
                <w:spacing w:val="34"/>
              </w:rPr>
              <w:t xml:space="preserve"> </w:t>
            </w:r>
            <w:r>
              <w:rPr>
                <w:spacing w:val="2"/>
              </w:rPr>
              <w:t>日才发布业绩预告更正</w:t>
            </w:r>
            <w:r>
              <w:rPr/>
              <w:t xml:space="preserve"> </w:t>
            </w:r>
            <w:r>
              <w:rPr>
                <w:spacing w:val="4"/>
              </w:rPr>
              <w:t>公告， 更正公告披露不及时。</w:t>
            </w:r>
          </w:p>
        </w:tc>
      </w:tr>
      <w:tr>
        <w:trPr>
          <w:trHeight w:val="731" w:hRule="atLeast"/>
        </w:trPr>
        <w:tc>
          <w:tcPr>
            <w:tcW w:w="1276" w:type="dxa"/>
            <w:vAlign w:val="top"/>
          </w:tcPr>
          <w:p>
            <w:pPr>
              <w:pStyle w:val="TableText"/>
              <w:ind w:left="270"/>
              <w:spacing w:before="110" w:line="178" w:lineRule="auto"/>
              <w:rPr/>
            </w:pPr>
            <w:r>
              <w:rPr>
                <w:spacing w:val="3"/>
              </w:rPr>
              <w:t>600225</w:t>
            </w:r>
          </w:p>
        </w:tc>
        <w:tc>
          <w:tcPr>
            <w:tcW w:w="1215" w:type="dxa"/>
            <w:vAlign w:val="top"/>
          </w:tcPr>
          <w:p>
            <w:pPr>
              <w:pStyle w:val="TableText"/>
              <w:ind w:left="181"/>
              <w:spacing w:before="95" w:line="189" w:lineRule="auto"/>
              <w:rPr/>
            </w:pPr>
            <w:r>
              <w:rPr>
                <w:spacing w:val="8"/>
              </w:rPr>
              <w:t>卓朗科技</w:t>
            </w:r>
          </w:p>
        </w:tc>
        <w:tc>
          <w:tcPr>
            <w:tcW w:w="1324" w:type="dxa"/>
            <w:vAlign w:val="top"/>
          </w:tcPr>
          <w:p>
            <w:pPr>
              <w:pStyle w:val="TableText"/>
              <w:ind w:left="234"/>
              <w:spacing w:before="97" w:line="188" w:lineRule="auto"/>
              <w:rPr/>
            </w:pPr>
            <w:r>
              <w:rPr>
                <w:spacing w:val="8"/>
              </w:rPr>
              <w:t>通报批评</w:t>
            </w:r>
          </w:p>
        </w:tc>
        <w:tc>
          <w:tcPr>
            <w:tcW w:w="5004" w:type="dxa"/>
            <w:vAlign w:val="top"/>
          </w:tcPr>
          <w:p>
            <w:pPr>
              <w:pStyle w:val="TableText"/>
              <w:ind w:left="3" w:right="159" w:hanging="1"/>
              <w:spacing w:before="94" w:line="219" w:lineRule="auto"/>
              <w:rPr/>
            </w:pPr>
            <w:r>
              <w:rPr>
                <w:spacing w:val="7"/>
              </w:rPr>
              <w:t>公司</w:t>
            </w:r>
            <w:r>
              <w:rPr>
                <w:b/>
                <w:bCs/>
                <w:spacing w:val="7"/>
              </w:rPr>
              <w:t>业绩预告</w:t>
            </w:r>
            <w:r>
              <w:rPr>
                <w:spacing w:val="7"/>
              </w:rPr>
              <w:t>披露不准确， 预告业绩与实际业绩</w:t>
            </w:r>
            <w:r>
              <w:rPr>
                <w:spacing w:val="6"/>
              </w:rPr>
              <w:t>差异</w:t>
            </w:r>
            <w:r>
              <w:rPr/>
              <w:t xml:space="preserve"> </w:t>
            </w:r>
            <w:r>
              <w:rPr>
                <w:spacing w:val="3"/>
              </w:rPr>
              <w:t>过大， 影响了投资者的合理预期。</w:t>
            </w:r>
            <w:r>
              <w:rPr>
                <w:spacing w:val="-31"/>
              </w:rPr>
              <w:t xml:space="preserve"> </w:t>
            </w:r>
            <w:r>
              <w:rPr>
                <w:spacing w:val="3"/>
              </w:rPr>
              <w:t>同时， </w:t>
            </w:r>
            <w:r>
              <w:rPr>
                <w:spacing w:val="2"/>
              </w:rPr>
              <w:t>公司迟至</w:t>
            </w:r>
          </w:p>
        </w:tc>
      </w:tr>
    </w:tbl>
    <w:p>
      <w:pPr>
        <w:pStyle w:val="BodyText"/>
        <w:rPr/>
      </w:pPr>
      <w:r/>
    </w:p>
    <w:p>
      <w:pPr>
        <w:sectPr>
          <w:pgSz w:w="11910" w:h="16840"/>
          <w:pgMar w:top="400" w:right="642" w:bottom="0" w:left="0" w:header="0" w:footer="0" w:gutter="0"/>
        </w:sectPr>
        <w:rPr/>
      </w:pPr>
    </w:p>
    <w:tbl>
      <w:tblPr>
        <w:tblStyle w:val="TableNormal"/>
        <w:tblW w:w="8819" w:type="dxa"/>
        <w:tblInd w:w="1223" w:type="dxa"/>
        <w:tblLayout w:type="fixed"/>
        <w:tblBorders>
          <w:top w:val="single" w:color="C0504D" w:sz="6" w:space="0"/>
          <w:left w:val="single" w:color="C0504D" w:sz="6" w:space="0"/>
          <w:bottom w:val="single" w:color="C0504D" w:sz="6" w:space="0"/>
          <w:right w:val="single" w:color="C0504D" w:sz="6" w:space="0"/>
          <w:insideH w:val="single" w:color="C0504D" w:sz="6" w:space="0"/>
          <w:insideV w:val="single" w:color="C0504D" w:sz="6" w:space="0"/>
        </w:tblBorders>
      </w:tblPr>
      <w:tblGrid>
        <w:gridCol w:w="1276"/>
        <w:gridCol w:w="1215"/>
        <w:gridCol w:w="1324"/>
        <w:gridCol w:w="5004"/>
      </w:tblGrid>
      <w:tr>
        <w:trPr>
          <w:trHeight w:val="743" w:hRule="atLeast"/>
        </w:trPr>
        <w:tc>
          <w:tcPr>
            <w:tcW w:w="1276" w:type="dxa"/>
            <w:vAlign w:val="top"/>
            <w:tcBorders>
              <w:top w:val="single" w:color="FFFFFF" w:sz="2" w:space="0"/>
            </w:tcBorders>
          </w:tcPr>
          <w:p>
            <w:pPr>
              <w:rPr>
                <w:rFonts w:ascii="Arial"/>
                <w:sz w:val="21"/>
              </w:rPr>
            </w:pPr>
            <w:r/>
          </w:p>
        </w:tc>
        <w:tc>
          <w:tcPr>
            <w:tcW w:w="1215" w:type="dxa"/>
            <w:vAlign w:val="top"/>
            <w:tcBorders>
              <w:top w:val="single" w:color="FFFFFF" w:sz="2" w:space="0"/>
            </w:tcBorders>
          </w:tcPr>
          <w:p>
            <w:pPr>
              <w:rPr>
                <w:rFonts w:ascii="Arial"/>
                <w:sz w:val="21"/>
              </w:rPr>
            </w:pPr>
            <w:r/>
          </w:p>
        </w:tc>
        <w:tc>
          <w:tcPr>
            <w:tcW w:w="1324" w:type="dxa"/>
            <w:vAlign w:val="top"/>
            <w:tcBorders>
              <w:top w:val="single" w:color="FFFFFF" w:sz="2" w:space="0"/>
            </w:tcBorders>
          </w:tcPr>
          <w:p>
            <w:pPr>
              <w:rPr>
                <w:rFonts w:ascii="Arial"/>
                <w:sz w:val="21"/>
              </w:rPr>
            </w:pPr>
            <w:r/>
          </w:p>
        </w:tc>
        <w:tc>
          <w:tcPr>
            <w:tcW w:w="5004" w:type="dxa"/>
            <w:vAlign w:val="top"/>
            <w:tcBorders>
              <w:top w:val="single" w:color="FFFFFF" w:sz="2" w:space="0"/>
            </w:tcBorders>
          </w:tcPr>
          <w:p>
            <w:pPr>
              <w:pStyle w:val="TableText"/>
              <w:ind w:left="3" w:right="94" w:firstLine="9"/>
              <w:spacing w:before="101" w:line="221" w:lineRule="auto"/>
              <w:rPr/>
            </w:pPr>
            <w:r>
              <w:rPr>
                <w:spacing w:val="5"/>
              </w:rPr>
              <w:t>2024 年 4 月 30</w:t>
            </w:r>
            <w:r>
              <w:rPr>
                <w:spacing w:val="25"/>
                <w:w w:val="101"/>
              </w:rPr>
              <w:t xml:space="preserve"> </w:t>
            </w:r>
            <w:r>
              <w:rPr>
                <w:spacing w:val="5"/>
              </w:rPr>
              <w:t>日才与年度报告同日</w:t>
            </w:r>
            <w:r>
              <w:rPr>
                <w:spacing w:val="4"/>
              </w:rPr>
              <w:t>发布业绩预告更</w:t>
            </w:r>
            <w:r>
              <w:rPr/>
              <w:t xml:space="preserve"> </w:t>
            </w:r>
            <w:r>
              <w:rPr>
                <w:spacing w:val="4"/>
              </w:rPr>
              <w:t>正公告， 更正公告披露不及时。</w:t>
            </w:r>
          </w:p>
        </w:tc>
      </w:tr>
      <w:tr>
        <w:trPr>
          <w:trHeight w:val="724" w:hRule="atLeast"/>
        </w:trPr>
        <w:tc>
          <w:tcPr>
            <w:shd w:val="clear" w:fill="F2DCDC"/>
            <w:tcW w:w="1276" w:type="dxa"/>
            <w:vAlign w:val="top"/>
          </w:tcPr>
          <w:p>
            <w:pPr>
              <w:pStyle w:val="TableText"/>
              <w:ind w:left="270"/>
              <w:spacing w:before="98" w:line="178" w:lineRule="auto"/>
              <w:rPr/>
            </w:pPr>
            <w:r>
              <w:rPr>
                <w:spacing w:val="3"/>
              </w:rPr>
              <w:t>600238</w:t>
            </w:r>
          </w:p>
        </w:tc>
        <w:tc>
          <w:tcPr>
            <w:shd w:val="clear" w:fill="F2DCDC"/>
            <w:tcW w:w="1215" w:type="dxa"/>
            <w:vAlign w:val="top"/>
          </w:tcPr>
          <w:p>
            <w:pPr>
              <w:pStyle w:val="TableText"/>
              <w:ind w:left="178"/>
              <w:spacing w:before="83" w:line="189" w:lineRule="auto"/>
              <w:rPr/>
            </w:pPr>
            <w:r>
              <w:rPr>
                <w:spacing w:val="8"/>
              </w:rPr>
              <w:t>海南椰岛</w:t>
            </w:r>
          </w:p>
        </w:tc>
        <w:tc>
          <w:tcPr>
            <w:shd w:val="clear" w:fill="F2DCDC"/>
            <w:tcW w:w="1324" w:type="dxa"/>
            <w:vAlign w:val="top"/>
          </w:tcPr>
          <w:p>
            <w:pPr>
              <w:pStyle w:val="TableText"/>
              <w:ind w:left="234"/>
              <w:spacing w:before="85" w:line="188" w:lineRule="auto"/>
              <w:rPr/>
            </w:pPr>
            <w:r>
              <w:rPr>
                <w:spacing w:val="8"/>
              </w:rPr>
              <w:t>通报批评</w:t>
            </w:r>
          </w:p>
        </w:tc>
        <w:tc>
          <w:tcPr>
            <w:shd w:val="clear" w:fill="F2DCDC"/>
            <w:tcW w:w="5004" w:type="dxa"/>
            <w:vAlign w:val="top"/>
          </w:tcPr>
          <w:p>
            <w:pPr>
              <w:pStyle w:val="TableText"/>
              <w:ind w:left="27" w:right="205" w:hanging="22"/>
              <w:spacing w:before="82" w:line="221" w:lineRule="auto"/>
              <w:rPr/>
            </w:pPr>
            <w:r>
              <w:rPr>
                <w:spacing w:val="5"/>
              </w:rPr>
              <w:t>上市公司发生</w:t>
            </w:r>
            <w:r>
              <w:rPr>
                <w:b/>
                <w:bCs/>
                <w:spacing w:val="5"/>
              </w:rPr>
              <w:t>子公司员工职务侵占事项</w:t>
            </w:r>
            <w:r>
              <w:rPr>
                <w:spacing w:val="5"/>
              </w:rPr>
              <w:t>， 所涉</w:t>
            </w:r>
            <w:r>
              <w:rPr>
                <w:spacing w:val="4"/>
              </w:rPr>
              <w:t>金额、</w:t>
            </w:r>
            <w:r>
              <w:rPr/>
              <w:t xml:space="preserve"> </w:t>
            </w:r>
            <w:r>
              <w:rPr>
                <w:spacing w:val="2"/>
              </w:rPr>
              <w:t>占比较大， 未及时予以披露。</w:t>
            </w:r>
          </w:p>
        </w:tc>
      </w:tr>
      <w:tr>
        <w:trPr>
          <w:trHeight w:val="723" w:hRule="atLeast"/>
        </w:trPr>
        <w:tc>
          <w:tcPr>
            <w:tcW w:w="1276" w:type="dxa"/>
            <w:vAlign w:val="top"/>
          </w:tcPr>
          <w:p>
            <w:pPr>
              <w:pStyle w:val="TableText"/>
              <w:ind w:left="270"/>
              <w:spacing w:before="98" w:line="178" w:lineRule="auto"/>
              <w:rPr/>
            </w:pPr>
            <w:r>
              <w:rPr>
                <w:spacing w:val="3"/>
              </w:rPr>
              <w:t>600080</w:t>
            </w:r>
          </w:p>
        </w:tc>
        <w:tc>
          <w:tcPr>
            <w:tcW w:w="1215" w:type="dxa"/>
            <w:vAlign w:val="top"/>
          </w:tcPr>
          <w:p>
            <w:pPr>
              <w:pStyle w:val="TableText"/>
              <w:ind w:left="177"/>
              <w:spacing w:before="84" w:line="189" w:lineRule="auto"/>
              <w:rPr/>
            </w:pPr>
            <w:r>
              <w:rPr>
                <w:spacing w:val="9"/>
              </w:rPr>
              <w:t>金花股份</w:t>
            </w:r>
          </w:p>
        </w:tc>
        <w:tc>
          <w:tcPr>
            <w:tcW w:w="1324" w:type="dxa"/>
            <w:vAlign w:val="top"/>
          </w:tcPr>
          <w:p>
            <w:pPr>
              <w:pStyle w:val="TableText"/>
              <w:ind w:left="234"/>
              <w:spacing w:before="85" w:line="188" w:lineRule="auto"/>
              <w:rPr/>
            </w:pPr>
            <w:r>
              <w:rPr>
                <w:spacing w:val="8"/>
              </w:rPr>
              <w:t>通报批评</w:t>
            </w:r>
          </w:p>
        </w:tc>
        <w:tc>
          <w:tcPr>
            <w:tcW w:w="5004" w:type="dxa"/>
            <w:vAlign w:val="top"/>
          </w:tcPr>
          <w:p>
            <w:pPr>
              <w:pStyle w:val="TableText"/>
              <w:ind w:left="2" w:right="159"/>
              <w:spacing w:before="83" w:line="220" w:lineRule="auto"/>
              <w:rPr/>
            </w:pPr>
            <w:r>
              <w:rPr>
                <w:spacing w:val="7"/>
              </w:rPr>
              <w:t>公司</w:t>
            </w:r>
            <w:r>
              <w:rPr>
                <w:b/>
                <w:bCs/>
                <w:spacing w:val="7"/>
              </w:rPr>
              <w:t>业绩预告</w:t>
            </w:r>
            <w:r>
              <w:rPr>
                <w:spacing w:val="7"/>
              </w:rPr>
              <w:t>披露不准确， 实际的归母净利润、</w:t>
            </w:r>
            <w:r>
              <w:rPr>
                <w:spacing w:val="6"/>
              </w:rPr>
              <w:t>扣非</w:t>
            </w:r>
            <w:r>
              <w:rPr/>
              <w:t xml:space="preserve"> </w:t>
            </w:r>
            <w:r>
              <w:rPr>
                <w:spacing w:val="9"/>
              </w:rPr>
              <w:t>后归母净利润与预告金额差异幅度较大。</w:t>
            </w:r>
          </w:p>
        </w:tc>
      </w:tr>
      <w:tr>
        <w:trPr>
          <w:trHeight w:val="365" w:hRule="atLeast"/>
        </w:trPr>
        <w:tc>
          <w:tcPr>
            <w:shd w:val="clear" w:fill="F2DCDC"/>
            <w:tcW w:w="1276" w:type="dxa"/>
            <w:vAlign w:val="top"/>
          </w:tcPr>
          <w:p>
            <w:pPr>
              <w:pStyle w:val="TableText"/>
              <w:ind w:left="270"/>
              <w:spacing w:before="101" w:line="177" w:lineRule="auto"/>
              <w:rPr/>
            </w:pPr>
            <w:r>
              <w:rPr>
                <w:spacing w:val="3"/>
              </w:rPr>
              <w:t>688485</w:t>
            </w:r>
          </w:p>
        </w:tc>
        <w:tc>
          <w:tcPr>
            <w:shd w:val="clear" w:fill="F2DCDC"/>
            <w:tcW w:w="1215" w:type="dxa"/>
            <w:vAlign w:val="top"/>
          </w:tcPr>
          <w:p>
            <w:pPr>
              <w:pStyle w:val="TableText"/>
              <w:ind w:left="178"/>
              <w:spacing w:before="87" w:line="187" w:lineRule="auto"/>
              <w:rPr/>
            </w:pPr>
            <w:r>
              <w:rPr>
                <w:spacing w:val="8"/>
              </w:rPr>
              <w:t>九州一轨</w:t>
            </w:r>
          </w:p>
        </w:tc>
        <w:tc>
          <w:tcPr>
            <w:shd w:val="clear" w:fill="F2DCDC"/>
            <w:tcW w:w="1324" w:type="dxa"/>
            <w:vAlign w:val="top"/>
          </w:tcPr>
          <w:p>
            <w:pPr>
              <w:pStyle w:val="TableText"/>
              <w:ind w:left="236"/>
              <w:spacing w:before="87" w:line="187" w:lineRule="auto"/>
              <w:rPr/>
            </w:pPr>
            <w:r>
              <w:rPr>
                <w:spacing w:val="8"/>
              </w:rPr>
              <w:t>监管警示</w:t>
            </w:r>
          </w:p>
        </w:tc>
        <w:tc>
          <w:tcPr>
            <w:shd w:val="clear" w:fill="F2DCDC"/>
            <w:tcW w:w="5004" w:type="dxa"/>
            <w:vAlign w:val="top"/>
          </w:tcPr>
          <w:p>
            <w:pPr>
              <w:pStyle w:val="TableText"/>
              <w:ind w:left="2"/>
              <w:spacing w:before="87" w:line="187" w:lineRule="auto"/>
              <w:rPr/>
            </w:pPr>
            <w:r>
              <w:rPr>
                <w:spacing w:val="9"/>
              </w:rPr>
              <w:t>公司</w:t>
            </w:r>
            <w:r>
              <w:rPr>
                <w:b/>
                <w:bCs/>
                <w:spacing w:val="9"/>
              </w:rPr>
              <w:t>业绩预告和业绩快报</w:t>
            </w:r>
            <w:r>
              <w:rPr>
                <w:spacing w:val="9"/>
              </w:rPr>
              <w:t>披露不准确。</w:t>
            </w:r>
          </w:p>
        </w:tc>
      </w:tr>
      <w:tr>
        <w:trPr>
          <w:trHeight w:val="1082" w:hRule="atLeast"/>
        </w:trPr>
        <w:tc>
          <w:tcPr>
            <w:tcW w:w="1276" w:type="dxa"/>
            <w:vAlign w:val="top"/>
          </w:tcPr>
          <w:p>
            <w:pPr>
              <w:pStyle w:val="TableText"/>
              <w:ind w:left="270"/>
              <w:spacing w:before="101" w:line="178" w:lineRule="auto"/>
              <w:rPr/>
            </w:pPr>
            <w:r>
              <w:rPr>
                <w:spacing w:val="3"/>
              </w:rPr>
              <w:t>600234</w:t>
            </w:r>
          </w:p>
        </w:tc>
        <w:tc>
          <w:tcPr>
            <w:tcW w:w="1215" w:type="dxa"/>
            <w:vAlign w:val="top"/>
          </w:tcPr>
          <w:p>
            <w:pPr>
              <w:pStyle w:val="TableText"/>
              <w:ind w:left="200"/>
              <w:spacing w:before="86" w:line="189" w:lineRule="auto"/>
              <w:rPr/>
            </w:pPr>
            <w:r>
              <w:rPr>
                <w:spacing w:val="7"/>
              </w:rPr>
              <w:t>*</w:t>
            </w:r>
            <w:r>
              <w:rPr/>
              <w:t>ST</w:t>
            </w:r>
            <w:r>
              <w:rPr>
                <w:spacing w:val="-7"/>
              </w:rPr>
              <w:t xml:space="preserve"> </w:t>
            </w:r>
            <w:r>
              <w:rPr>
                <w:spacing w:val="7"/>
              </w:rPr>
              <w:t>科新</w:t>
            </w:r>
          </w:p>
        </w:tc>
        <w:tc>
          <w:tcPr>
            <w:tcW w:w="1324" w:type="dxa"/>
            <w:vAlign w:val="top"/>
          </w:tcPr>
          <w:p>
            <w:pPr>
              <w:pStyle w:val="TableText"/>
              <w:ind w:left="234"/>
              <w:spacing w:before="88" w:line="188" w:lineRule="auto"/>
              <w:rPr/>
            </w:pPr>
            <w:r>
              <w:rPr>
                <w:spacing w:val="8"/>
              </w:rPr>
              <w:t>通报批评</w:t>
            </w:r>
          </w:p>
        </w:tc>
        <w:tc>
          <w:tcPr>
            <w:tcW w:w="5004" w:type="dxa"/>
            <w:vAlign w:val="top"/>
          </w:tcPr>
          <w:p>
            <w:pPr>
              <w:pStyle w:val="TableText"/>
              <w:ind w:left="1" w:right="231" w:firstLine="1"/>
              <w:spacing w:before="85" w:line="230" w:lineRule="auto"/>
              <w:rPr/>
            </w:pPr>
            <w:r>
              <w:rPr>
                <w:spacing w:val="7"/>
              </w:rPr>
              <w:t>公司 2023 年年度业绩预亏公告中预计营业收入超 1</w:t>
            </w:r>
            <w:r>
              <w:rPr/>
              <w:t xml:space="preserve"> </w:t>
            </w:r>
            <w:r>
              <w:rPr>
                <w:spacing w:val="2"/>
              </w:rPr>
              <w:t>亿元， 但实际</w:t>
            </w:r>
            <w:r>
              <w:rPr>
                <w:b/>
                <w:bCs/>
                <w:spacing w:val="2"/>
              </w:rPr>
              <w:t>营业收入低于</w:t>
            </w:r>
            <w:r>
              <w:rPr>
                <w:b/>
                <w:bCs/>
                <w:spacing w:val="33"/>
                <w:w w:val="101"/>
              </w:rPr>
              <w:t xml:space="preserve"> </w:t>
            </w:r>
            <w:r>
              <w:rPr>
                <w:b/>
                <w:bCs/>
                <w:spacing w:val="2"/>
              </w:rPr>
              <w:t>1 亿元</w:t>
            </w:r>
            <w:r>
              <w:rPr>
                <w:spacing w:val="2"/>
              </w:rPr>
              <w:t>， 业绩预告不准</w:t>
            </w:r>
            <w:r>
              <w:rPr/>
              <w:t xml:space="preserve">   </w:t>
            </w:r>
            <w:r>
              <w:rPr>
                <w:spacing w:val="5"/>
              </w:rPr>
              <w:t>确， 公司股票因此被实施退市风险警示。</w:t>
            </w:r>
          </w:p>
        </w:tc>
      </w:tr>
      <w:tr>
        <w:trPr>
          <w:trHeight w:val="567" w:hRule="atLeast"/>
        </w:trPr>
        <w:tc>
          <w:tcPr>
            <w:shd w:val="clear" w:fill="F2DCDC"/>
            <w:tcW w:w="1276" w:type="dxa"/>
            <w:vAlign w:val="top"/>
          </w:tcPr>
          <w:p>
            <w:pPr>
              <w:pStyle w:val="TableText"/>
              <w:ind w:left="270"/>
              <w:spacing w:before="106" w:line="178" w:lineRule="auto"/>
              <w:rPr/>
            </w:pPr>
            <w:r>
              <w:rPr>
                <w:spacing w:val="3"/>
              </w:rPr>
              <w:t>688593</w:t>
            </w:r>
          </w:p>
        </w:tc>
        <w:tc>
          <w:tcPr>
            <w:shd w:val="clear" w:fill="F2DCDC"/>
            <w:tcW w:w="1215" w:type="dxa"/>
            <w:vAlign w:val="top"/>
          </w:tcPr>
          <w:p>
            <w:pPr>
              <w:pStyle w:val="TableText"/>
              <w:ind w:left="283"/>
              <w:spacing w:before="91" w:line="189" w:lineRule="auto"/>
              <w:rPr/>
            </w:pPr>
            <w:r>
              <w:rPr>
                <w:spacing w:val="8"/>
              </w:rPr>
              <w:t>新相微</w:t>
            </w:r>
          </w:p>
        </w:tc>
        <w:tc>
          <w:tcPr>
            <w:shd w:val="clear" w:fill="F2DCDC"/>
            <w:tcW w:w="1324" w:type="dxa"/>
            <w:vAlign w:val="top"/>
          </w:tcPr>
          <w:p>
            <w:pPr>
              <w:pStyle w:val="TableText"/>
              <w:ind w:left="236"/>
              <w:spacing w:before="91" w:line="189" w:lineRule="auto"/>
              <w:rPr/>
            </w:pPr>
            <w:r>
              <w:rPr>
                <w:spacing w:val="8"/>
              </w:rPr>
              <w:t>监管警示</w:t>
            </w:r>
          </w:p>
        </w:tc>
        <w:tc>
          <w:tcPr>
            <w:shd w:val="clear" w:fill="F2DCDC"/>
            <w:tcW w:w="5004" w:type="dxa"/>
            <w:vAlign w:val="top"/>
          </w:tcPr>
          <w:p>
            <w:pPr>
              <w:pStyle w:val="TableText"/>
              <w:ind w:left="11"/>
              <w:spacing w:before="91" w:line="189" w:lineRule="auto"/>
              <w:rPr/>
            </w:pPr>
            <w:r>
              <w:rPr>
                <w:spacing w:val="7"/>
              </w:rPr>
              <w:t>时任董事</w:t>
            </w:r>
            <w:r>
              <w:rPr>
                <w:b/>
                <w:bCs/>
                <w:spacing w:val="7"/>
              </w:rPr>
              <w:t>配偶短线交易</w:t>
            </w:r>
            <w:r>
              <w:rPr>
                <w:spacing w:val="7"/>
              </w:rPr>
              <w:t>。</w:t>
            </w:r>
          </w:p>
        </w:tc>
      </w:tr>
      <w:tr>
        <w:trPr>
          <w:trHeight w:val="364" w:hRule="atLeast"/>
        </w:trPr>
        <w:tc>
          <w:tcPr>
            <w:tcW w:w="1276" w:type="dxa"/>
            <w:vAlign w:val="top"/>
          </w:tcPr>
          <w:p>
            <w:pPr>
              <w:pStyle w:val="TableText"/>
              <w:ind w:left="270"/>
              <w:spacing w:before="106" w:line="173" w:lineRule="auto"/>
              <w:rPr/>
            </w:pPr>
            <w:r>
              <w:rPr>
                <w:spacing w:val="3"/>
              </w:rPr>
              <w:t>600589</w:t>
            </w:r>
          </w:p>
        </w:tc>
        <w:tc>
          <w:tcPr>
            <w:tcW w:w="1215" w:type="dxa"/>
            <w:vAlign w:val="top"/>
          </w:tcPr>
          <w:p>
            <w:pPr>
              <w:pStyle w:val="TableText"/>
              <w:ind w:left="177"/>
              <w:spacing w:before="92" w:line="183" w:lineRule="auto"/>
              <w:rPr/>
            </w:pPr>
            <w:r>
              <w:rPr>
                <w:spacing w:val="8"/>
              </w:rPr>
              <w:t>广东榕泰</w:t>
            </w:r>
          </w:p>
        </w:tc>
        <w:tc>
          <w:tcPr>
            <w:tcW w:w="1324" w:type="dxa"/>
            <w:vAlign w:val="top"/>
          </w:tcPr>
          <w:p>
            <w:pPr>
              <w:pStyle w:val="TableText"/>
              <w:ind w:left="236"/>
              <w:spacing w:before="92" w:line="183" w:lineRule="auto"/>
              <w:rPr/>
            </w:pPr>
            <w:r>
              <w:rPr>
                <w:spacing w:val="8"/>
              </w:rPr>
              <w:t>监管警示</w:t>
            </w:r>
          </w:p>
        </w:tc>
        <w:tc>
          <w:tcPr>
            <w:tcW w:w="5004" w:type="dxa"/>
            <w:vAlign w:val="top"/>
          </w:tcPr>
          <w:p>
            <w:pPr>
              <w:pStyle w:val="TableText"/>
              <w:ind w:left="2"/>
              <w:spacing w:before="92" w:line="183" w:lineRule="auto"/>
              <w:rPr/>
            </w:pPr>
            <w:r>
              <w:rPr>
                <w:spacing w:val="9"/>
              </w:rPr>
              <w:t>公司</w:t>
            </w:r>
            <w:r>
              <w:rPr>
                <w:b/>
                <w:bCs/>
                <w:spacing w:val="9"/>
              </w:rPr>
              <w:t>年度报告</w:t>
            </w:r>
            <w:r>
              <w:rPr>
                <w:spacing w:val="9"/>
              </w:rPr>
              <w:t>信息披露不准确。</w:t>
            </w:r>
          </w:p>
        </w:tc>
      </w:tr>
      <w:tr>
        <w:trPr>
          <w:trHeight w:val="365" w:hRule="atLeast"/>
        </w:trPr>
        <w:tc>
          <w:tcPr>
            <w:shd w:val="clear" w:fill="F2DCDC"/>
            <w:tcW w:w="1276" w:type="dxa"/>
            <w:vAlign w:val="top"/>
          </w:tcPr>
          <w:p>
            <w:pPr>
              <w:pStyle w:val="TableText"/>
              <w:ind w:left="270"/>
              <w:spacing w:before="107" w:line="173" w:lineRule="auto"/>
              <w:rPr/>
            </w:pPr>
            <w:r>
              <w:rPr>
                <w:spacing w:val="3"/>
              </w:rPr>
              <w:t>600594</w:t>
            </w:r>
          </w:p>
        </w:tc>
        <w:tc>
          <w:tcPr>
            <w:shd w:val="clear" w:fill="F2DCDC"/>
            <w:tcW w:w="1215" w:type="dxa"/>
            <w:vAlign w:val="top"/>
          </w:tcPr>
          <w:p>
            <w:pPr>
              <w:pStyle w:val="TableText"/>
              <w:ind w:left="179"/>
              <w:spacing w:before="93" w:line="183" w:lineRule="auto"/>
              <w:rPr/>
            </w:pPr>
            <w:r>
              <w:rPr>
                <w:spacing w:val="8"/>
              </w:rPr>
              <w:t>益佰制药</w:t>
            </w:r>
          </w:p>
        </w:tc>
        <w:tc>
          <w:tcPr>
            <w:shd w:val="clear" w:fill="F2DCDC"/>
            <w:tcW w:w="1324" w:type="dxa"/>
            <w:vAlign w:val="top"/>
          </w:tcPr>
          <w:p>
            <w:pPr>
              <w:pStyle w:val="TableText"/>
              <w:ind w:left="236"/>
              <w:spacing w:before="91" w:line="184" w:lineRule="auto"/>
              <w:rPr/>
            </w:pPr>
            <w:r>
              <w:rPr>
                <w:spacing w:val="8"/>
              </w:rPr>
              <w:t>监管警示</w:t>
            </w:r>
          </w:p>
        </w:tc>
        <w:tc>
          <w:tcPr>
            <w:shd w:val="clear" w:fill="F2DCDC"/>
            <w:tcW w:w="5004" w:type="dxa"/>
            <w:vAlign w:val="top"/>
          </w:tcPr>
          <w:p>
            <w:pPr>
              <w:pStyle w:val="TableText"/>
              <w:ind w:left="2"/>
              <w:spacing w:before="91" w:line="184" w:lineRule="auto"/>
              <w:rPr/>
            </w:pPr>
            <w:r>
              <w:rPr>
                <w:spacing w:val="9"/>
              </w:rPr>
              <w:t>公司未及时披露公司</w:t>
            </w:r>
            <w:r>
              <w:rPr>
                <w:b/>
                <w:bCs/>
                <w:spacing w:val="9"/>
              </w:rPr>
              <w:t>主要产品暂停生产</w:t>
            </w:r>
            <w:r>
              <w:rPr>
                <w:spacing w:val="9"/>
              </w:rPr>
              <w:t>的相关信息。</w:t>
            </w:r>
          </w:p>
        </w:tc>
      </w:tr>
      <w:tr>
        <w:trPr>
          <w:trHeight w:val="723" w:hRule="atLeast"/>
        </w:trPr>
        <w:tc>
          <w:tcPr>
            <w:tcW w:w="1276" w:type="dxa"/>
            <w:vAlign w:val="top"/>
          </w:tcPr>
          <w:p>
            <w:pPr>
              <w:pStyle w:val="TableText"/>
              <w:ind w:left="270"/>
              <w:spacing w:before="107" w:line="179" w:lineRule="auto"/>
              <w:rPr/>
            </w:pPr>
            <w:r>
              <w:rPr>
                <w:spacing w:val="3"/>
              </w:rPr>
              <w:t>688141</w:t>
            </w:r>
          </w:p>
        </w:tc>
        <w:tc>
          <w:tcPr>
            <w:tcW w:w="1215" w:type="dxa"/>
            <w:vAlign w:val="top"/>
          </w:tcPr>
          <w:p>
            <w:pPr>
              <w:pStyle w:val="TableText"/>
              <w:ind w:left="283"/>
              <w:spacing w:before="94" w:line="189" w:lineRule="auto"/>
              <w:rPr/>
            </w:pPr>
            <w:r>
              <w:rPr>
                <w:spacing w:val="8"/>
              </w:rPr>
              <w:t>杰华特</w:t>
            </w:r>
          </w:p>
        </w:tc>
        <w:tc>
          <w:tcPr>
            <w:tcW w:w="1324" w:type="dxa"/>
            <w:vAlign w:val="top"/>
          </w:tcPr>
          <w:p>
            <w:pPr>
              <w:pStyle w:val="TableText"/>
              <w:ind w:left="236"/>
              <w:spacing w:before="94" w:line="189" w:lineRule="auto"/>
              <w:rPr/>
            </w:pPr>
            <w:r>
              <w:rPr>
                <w:spacing w:val="8"/>
              </w:rPr>
              <w:t>监管警示</w:t>
            </w:r>
          </w:p>
        </w:tc>
        <w:tc>
          <w:tcPr>
            <w:tcW w:w="5004" w:type="dxa"/>
            <w:vAlign w:val="top"/>
          </w:tcPr>
          <w:p>
            <w:pPr>
              <w:pStyle w:val="TableText"/>
              <w:ind w:left="2" w:right="159"/>
              <w:spacing w:before="92" w:line="217" w:lineRule="auto"/>
              <w:rPr/>
            </w:pPr>
            <w:r>
              <w:rPr>
                <w:spacing w:val="7"/>
              </w:rPr>
              <w:t>公司</w:t>
            </w:r>
            <w:r>
              <w:rPr>
                <w:b/>
                <w:bCs/>
                <w:spacing w:val="7"/>
              </w:rPr>
              <w:t>募集资金专户管理</w:t>
            </w:r>
            <w:r>
              <w:rPr>
                <w:spacing w:val="7"/>
              </w:rPr>
              <w:t>不规范， 募集资金相关信</w:t>
            </w:r>
            <w:r>
              <w:rPr>
                <w:spacing w:val="6"/>
              </w:rPr>
              <w:t>息披</w:t>
            </w:r>
            <w:r>
              <w:rPr/>
              <w:t xml:space="preserve"> </w:t>
            </w:r>
            <w:r>
              <w:rPr>
                <w:spacing w:val="6"/>
              </w:rPr>
              <w:t>露不准确。</w:t>
            </w:r>
          </w:p>
        </w:tc>
      </w:tr>
      <w:tr>
        <w:trPr>
          <w:trHeight w:val="374" w:hRule="atLeast"/>
        </w:trPr>
        <w:tc>
          <w:tcPr>
            <w:shd w:val="clear" w:fill="F2DCDC"/>
            <w:tcW w:w="1276" w:type="dxa"/>
            <w:vAlign w:val="top"/>
          </w:tcPr>
          <w:p>
            <w:pPr>
              <w:pStyle w:val="TableText"/>
              <w:ind w:left="270"/>
              <w:spacing w:before="109" w:line="178" w:lineRule="auto"/>
              <w:rPr/>
            </w:pPr>
            <w:r>
              <w:rPr>
                <w:spacing w:val="3"/>
              </w:rPr>
              <w:t>600877</w:t>
            </w:r>
          </w:p>
        </w:tc>
        <w:tc>
          <w:tcPr>
            <w:shd w:val="clear" w:fill="F2DCDC"/>
            <w:tcW w:w="1215" w:type="dxa"/>
            <w:vAlign w:val="top"/>
          </w:tcPr>
          <w:p>
            <w:pPr>
              <w:pStyle w:val="TableText"/>
              <w:ind w:left="188"/>
              <w:spacing w:before="96" w:line="187" w:lineRule="auto"/>
              <w:rPr/>
            </w:pPr>
            <w:r>
              <w:rPr>
                <w:spacing w:val="6"/>
              </w:rPr>
              <w:t>电科芯片</w:t>
            </w:r>
          </w:p>
        </w:tc>
        <w:tc>
          <w:tcPr>
            <w:shd w:val="clear" w:fill="F2DCDC"/>
            <w:tcW w:w="1324" w:type="dxa"/>
            <w:vAlign w:val="top"/>
          </w:tcPr>
          <w:p>
            <w:pPr>
              <w:pStyle w:val="TableText"/>
              <w:ind w:left="236"/>
              <w:spacing w:before="95" w:line="188" w:lineRule="auto"/>
              <w:rPr/>
            </w:pPr>
            <w:r>
              <w:rPr>
                <w:spacing w:val="8"/>
              </w:rPr>
              <w:t>监管警示</w:t>
            </w:r>
          </w:p>
        </w:tc>
        <w:tc>
          <w:tcPr>
            <w:shd w:val="clear" w:fill="F2DCDC"/>
            <w:tcW w:w="5004" w:type="dxa"/>
            <w:vAlign w:val="top"/>
          </w:tcPr>
          <w:p>
            <w:pPr>
              <w:pStyle w:val="TableText"/>
              <w:ind w:left="2"/>
              <w:spacing w:before="93" w:line="189" w:lineRule="auto"/>
              <w:rPr/>
            </w:pPr>
            <w:r>
              <w:rPr>
                <w:spacing w:val="9"/>
              </w:rPr>
              <w:t>公司</w:t>
            </w:r>
            <w:r>
              <w:rPr>
                <w:b/>
                <w:bCs/>
                <w:spacing w:val="9"/>
              </w:rPr>
              <w:t>日常关联交易</w:t>
            </w:r>
            <w:r>
              <w:rPr>
                <w:spacing w:val="9"/>
              </w:rPr>
              <w:t>未及时履行决策程序和披露义务。</w:t>
            </w:r>
          </w:p>
        </w:tc>
      </w:tr>
    </w:tbl>
    <w:p>
      <w:pPr>
        <w:pStyle w:val="BodyText"/>
        <w:spacing w:line="261" w:lineRule="auto"/>
        <w:rPr/>
      </w:pPr>
      <w:r/>
    </w:p>
    <w:p>
      <w:pPr>
        <w:pStyle w:val="BodyText"/>
        <w:spacing w:line="261" w:lineRule="auto"/>
        <w:rPr/>
      </w:pPr>
      <w:r/>
    </w:p>
    <w:p>
      <w:pPr>
        <w:ind w:left="514"/>
        <w:spacing w:before="103" w:line="225" w:lineRule="auto"/>
        <w:outlineLvl w:val="1"/>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12"/>
        </w:rPr>
        <w:t>（2） 问询函统计</w:t>
      </w:r>
    </w:p>
    <w:p>
      <w:pPr>
        <w:ind w:left="491"/>
        <w:spacing w:before="148" w:line="183" w:lineRule="auto"/>
        <w:rPr>
          <w:rFonts w:ascii="Microsoft YaHei" w:hAnsi="Microsoft YaHei" w:eastAsia="Microsoft YaHei" w:cs="Microsoft YaHei"/>
          <w:sz w:val="24"/>
          <w:szCs w:val="24"/>
        </w:rPr>
      </w:pPr>
      <w:r>
        <w:rPr>
          <w:rFonts w:ascii="Microsoft YaHei" w:hAnsi="Microsoft YaHei" w:eastAsia="Microsoft YaHei" w:cs="Microsoft YaHei"/>
          <w:sz w:val="24"/>
          <w:szCs w:val="24"/>
          <w:spacing w:val="-3"/>
        </w:rPr>
        <w:t>2024年6月17日-6月23日， 上交所未发出监管问询函。</w:t>
      </w:r>
    </w:p>
    <w:p>
      <w:pPr>
        <w:pStyle w:val="BodyText"/>
        <w:spacing w:line="242" w:lineRule="auto"/>
        <w:rPr/>
      </w:pPr>
      <w:r/>
    </w:p>
    <w:p>
      <w:pPr>
        <w:pStyle w:val="BodyText"/>
        <w:spacing w:line="242" w:lineRule="auto"/>
        <w:rPr/>
      </w:pPr>
      <w:r/>
    </w:p>
    <w:p>
      <w:pPr>
        <w:ind w:left="530"/>
        <w:spacing w:before="103" w:line="183"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2"/>
        </w:rPr>
        <w:t>2、市场交易监管动态</w:t>
      </w:r>
    </w:p>
    <w:p>
      <w:pPr>
        <w:ind w:firstLine="491"/>
        <w:spacing w:before="135" w:line="238" w:lineRule="auto"/>
        <w:rPr>
          <w:rFonts w:ascii="Microsoft YaHei" w:hAnsi="Microsoft YaHei" w:eastAsia="Microsoft YaHei" w:cs="Microsoft YaHei"/>
          <w:sz w:val="24"/>
          <w:szCs w:val="24"/>
        </w:rPr>
      </w:pPr>
      <w:r>
        <w:rPr>
          <w:rFonts w:ascii="Microsoft YaHei" w:hAnsi="Microsoft YaHei" w:eastAsia="Microsoft YaHei" w:cs="Microsoft YaHei"/>
          <w:sz w:val="24"/>
          <w:szCs w:val="24"/>
          <w:spacing w:val="-2"/>
        </w:rPr>
        <w:t>2024年6月17日-6月23日， 上交所对64起拉抬打压、虚假申报等证券异常交易行为采取了书面警示</w:t>
      </w:r>
      <w:r>
        <w:rPr>
          <w:rFonts w:ascii="Microsoft YaHei" w:hAnsi="Microsoft YaHei" w:eastAsia="Microsoft YaHei" w:cs="Microsoft YaHei"/>
          <w:sz w:val="24"/>
          <w:szCs w:val="24"/>
          <w:spacing w:val="14"/>
        </w:rPr>
        <w:t xml:space="preserve"> </w:t>
      </w:r>
      <w:r>
        <w:rPr>
          <w:rFonts w:ascii="Microsoft YaHei" w:hAnsi="Microsoft YaHei" w:eastAsia="Microsoft YaHei" w:cs="Microsoft YaHei"/>
          <w:sz w:val="24"/>
          <w:szCs w:val="24"/>
          <w:spacing w:val="-3"/>
        </w:rPr>
        <w:t>等监管措施， 对退市整理股票进行重点监控，</w:t>
      </w:r>
      <w:r>
        <w:rPr>
          <w:rFonts w:ascii="Microsoft YaHei" w:hAnsi="Microsoft YaHei" w:eastAsia="Microsoft YaHei" w:cs="Microsoft YaHei"/>
          <w:sz w:val="24"/>
          <w:szCs w:val="24"/>
          <w:spacing w:val="-4"/>
        </w:rPr>
        <w:t xml:space="preserve"> 对16起上市公司重大事项等进行专项核查。</w:t>
      </w:r>
    </w:p>
    <w:p>
      <w:pPr>
        <w:spacing w:line="238" w:lineRule="auto"/>
        <w:sectPr>
          <w:pgSz w:w="11910" w:h="16840"/>
          <w:pgMar w:top="400" w:right="558" w:bottom="0" w:left="442" w:header="0" w:footer="0" w:gutter="0"/>
        </w:sectPr>
        <w:rPr>
          <w:rFonts w:ascii="Microsoft YaHei" w:hAnsi="Microsoft YaHei" w:eastAsia="Microsoft YaHei" w:cs="Microsoft YaHei"/>
          <w:sz w:val="24"/>
          <w:szCs w:val="24"/>
        </w:rPr>
      </w:pPr>
    </w:p>
    <w:p>
      <w:pPr>
        <w:pStyle w:val="BodyText"/>
        <w:spacing w:line="293" w:lineRule="auto"/>
        <w:rPr/>
      </w:pPr>
      <w:r/>
    </w:p>
    <w:p>
      <w:pPr>
        <w:pStyle w:val="BodyText"/>
        <w:spacing w:line="294" w:lineRule="auto"/>
        <w:rPr/>
      </w:pPr>
      <w:r/>
    </w:p>
    <w:p>
      <w:pPr>
        <w:spacing w:line="924" w:lineRule="exact"/>
        <w:rPr/>
      </w:pPr>
      <w:r>
        <w:rPr>
          <w:position w:val="-18"/>
        </w:rPr>
        <w:pict>
          <v:group id="_x0000_s30" style="mso-position-vertical-relative:line;mso-position-horizontal-relative:char;width:134.8pt;height:46.25pt;" filled="false" stroked="false" coordsize="2696,925" coordorigin="0,0">
            <v:shape id="_x0000_s32" style="position:absolute;left:0;top:0;width:2696;height:925;" filled="false" stroked="false" type="#_x0000_t75">
              <v:imagedata o:title="" r:id="rId16"/>
            </v:shape>
            <v:shape id="_x0000_s34" style="position:absolute;left:-20;top:-20;width:2736;height:965;" filled="false" stroked="false" type="#_x0000_t202">
              <v:fill on="false"/>
              <v:stroke on="false"/>
              <v:path/>
              <v:imagedata o:title=""/>
              <o:lock v:ext="edit" aspectratio="false"/>
              <v:textbox inset="0mm,0mm,0mm,0mm">
                <w:txbxContent>
                  <w:p>
                    <w:pPr>
                      <w:ind w:left="366"/>
                      <w:spacing w:before="248" w:line="183" w:lineRule="auto"/>
                      <w:rPr>
                        <w:rFonts w:ascii="Microsoft YaHei" w:hAnsi="Microsoft YaHei" w:eastAsia="Microsoft YaHei" w:cs="Microsoft YaHei"/>
                        <w:sz w:val="28"/>
                        <w:szCs w:val="28"/>
                      </w:rPr>
                    </w:pPr>
                    <w:r>
                      <w:rPr>
                        <w:rFonts w:ascii="Microsoft YaHei" w:hAnsi="Microsoft YaHei" w:eastAsia="Microsoft YaHei" w:cs="Microsoft YaHei"/>
                        <w:sz w:val="28"/>
                        <w:szCs w:val="28"/>
                        <w:b/>
                        <w:bCs/>
                        <w:color w:val="FFFFFF"/>
                        <w:spacing w:val="-1"/>
                      </w:rPr>
                      <w:t>深交所监管动态</w:t>
                    </w:r>
                  </w:p>
                </w:txbxContent>
              </v:textbox>
            </v:shape>
          </v:group>
        </w:pict>
      </w:r>
    </w:p>
    <w:p>
      <w:pPr>
        <w:ind w:left="902"/>
        <w:spacing w:before="329" w:line="183"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3"/>
        </w:rPr>
        <w:t>1、上市公司监管动态</w:t>
      </w:r>
    </w:p>
    <w:p>
      <w:pPr>
        <w:ind w:left="442" w:firstLine="491"/>
        <w:spacing w:before="169" w:line="359" w:lineRule="auto"/>
        <w:rPr>
          <w:rFonts w:ascii="Microsoft YaHei" w:hAnsi="Microsoft YaHei" w:eastAsia="Microsoft YaHei" w:cs="Microsoft YaHei"/>
          <w:sz w:val="24"/>
          <w:szCs w:val="24"/>
        </w:rPr>
      </w:pPr>
      <w:r>
        <w:rPr>
          <w:rFonts w:ascii="Microsoft YaHei" w:hAnsi="Microsoft YaHei" w:eastAsia="Microsoft YaHei" w:cs="Microsoft YaHei"/>
          <w:sz w:val="24"/>
          <w:szCs w:val="24"/>
          <w:spacing w:val="3"/>
        </w:rPr>
        <w:t>2024年6月17日-6月23日， 深交所发出10份</w:t>
      </w:r>
      <w:r>
        <w:rPr>
          <w:rFonts w:ascii="Microsoft YaHei" w:hAnsi="Microsoft YaHei" w:eastAsia="Microsoft YaHei" w:cs="Microsoft YaHei"/>
          <w:sz w:val="24"/>
          <w:szCs w:val="24"/>
          <w:spacing w:val="2"/>
        </w:rPr>
        <w:t>监管函， 对2宗行为予以纪律处分； 共发出关注函1</w:t>
      </w:r>
      <w:r>
        <w:rPr>
          <w:rFonts w:ascii="Microsoft YaHei" w:hAnsi="Microsoft YaHei" w:eastAsia="Microsoft YaHei" w:cs="Microsoft YaHei"/>
          <w:sz w:val="24"/>
          <w:szCs w:val="24"/>
        </w:rPr>
        <w:t xml:space="preserve"> </w:t>
      </w:r>
      <w:r>
        <w:rPr>
          <w:rFonts w:ascii="Microsoft YaHei" w:hAnsi="Microsoft YaHei" w:eastAsia="Microsoft YaHei" w:cs="Microsoft YaHei"/>
          <w:sz w:val="24"/>
          <w:szCs w:val="24"/>
          <w:spacing w:val="-2"/>
        </w:rPr>
        <w:t>份。</w:t>
      </w:r>
    </w:p>
    <w:p>
      <w:pPr>
        <w:ind w:firstLine="1481"/>
        <w:spacing w:before="93" w:line="4331" w:lineRule="exact"/>
        <w:rPr/>
      </w:pPr>
      <w:r>
        <w:rPr>
          <w:position w:val="-86"/>
        </w:rPr>
        <w:drawing>
          <wp:inline distT="0" distB="0" distL="0" distR="0">
            <wp:extent cx="5493384" cy="2750184"/>
            <wp:effectExtent l="0" t="0" r="0" b="0"/>
            <wp:docPr id="28" name="IM 28"/>
            <wp:cNvGraphicFramePr/>
            <a:graphic>
              <a:graphicData uri="http://schemas.openxmlformats.org/drawingml/2006/picture">
                <pic:pic>
                  <pic:nvPicPr>
                    <pic:cNvPr id="28" name="IM 28"/>
                    <pic:cNvPicPr/>
                  </pic:nvPicPr>
                  <pic:blipFill>
                    <a:blip r:embed="rId18"/>
                    <a:stretch>
                      <a:fillRect/>
                    </a:stretch>
                  </pic:blipFill>
                  <pic:spPr>
                    <a:xfrm rot="0">
                      <a:off x="0" y="0"/>
                      <a:ext cx="5493384" cy="2750184"/>
                    </a:xfrm>
                    <a:prstGeom prst="rect">
                      <a:avLst/>
                    </a:prstGeom>
                  </pic:spPr>
                </pic:pic>
              </a:graphicData>
            </a:graphic>
          </wp:inline>
        </w:drawing>
      </w:r>
    </w:p>
    <w:p>
      <w:pPr>
        <w:pStyle w:val="BodyText"/>
        <w:spacing w:line="364" w:lineRule="auto"/>
        <w:rPr/>
      </w:pPr>
      <w:r/>
    </w:p>
    <w:p>
      <w:pPr>
        <w:ind w:left="997"/>
        <w:spacing w:before="104" w:line="213" w:lineRule="auto"/>
        <w:outlineLvl w:val="1"/>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9"/>
        </w:rPr>
        <w:t>（1） 纪律处分及监管措施</w:t>
      </w:r>
    </w:p>
    <w:tbl>
      <w:tblPr>
        <w:tblStyle w:val="TableNormal"/>
        <w:tblW w:w="9016" w:type="dxa"/>
        <w:tblInd w:w="1346" w:type="dxa"/>
        <w:tblLayout w:type="fixed"/>
        <w:tblBorders>
          <w:top w:val="single" w:color="4F81BD" w:sz="2" w:space="0"/>
          <w:left w:val="single" w:color="4F81BD" w:sz="2" w:space="0"/>
          <w:bottom w:val="single" w:color="4F81BD" w:sz="2" w:space="0"/>
          <w:right w:val="single" w:color="4F81BD" w:sz="2" w:space="0"/>
          <w:insideH w:val="single" w:color="4F81BD" w:sz="2" w:space="0"/>
          <w:insideV w:val="single" w:color="4F81BD" w:sz="2" w:space="0"/>
        </w:tblBorders>
      </w:tblPr>
      <w:tblGrid>
        <w:gridCol w:w="1471"/>
        <w:gridCol w:w="1484"/>
        <w:gridCol w:w="1498"/>
        <w:gridCol w:w="4563"/>
      </w:tblGrid>
      <w:tr>
        <w:trPr>
          <w:trHeight w:val="640" w:hRule="atLeast"/>
        </w:trPr>
        <w:tc>
          <w:tcPr>
            <w:shd w:val="clear" w:fill="4BACC6"/>
            <w:tcW w:w="1471" w:type="dxa"/>
            <w:vAlign w:val="top"/>
          </w:tcPr>
          <w:p>
            <w:pPr>
              <w:pStyle w:val="TableText"/>
              <w:ind w:left="296"/>
              <w:spacing w:before="94" w:line="183" w:lineRule="auto"/>
              <w:rPr>
                <w:sz w:val="22"/>
                <w:szCs w:val="22"/>
              </w:rPr>
            </w:pPr>
            <w:r>
              <w:rPr>
                <w:sz w:val="22"/>
                <w:szCs w:val="22"/>
                <w:b/>
                <w:bCs/>
                <w:color w:val="FFFFFF"/>
                <w:spacing w:val="-1"/>
              </w:rPr>
              <w:t>公司代码</w:t>
            </w:r>
          </w:p>
        </w:tc>
        <w:tc>
          <w:tcPr>
            <w:shd w:val="clear" w:fill="4BACC6"/>
            <w:tcW w:w="1484" w:type="dxa"/>
            <w:vAlign w:val="top"/>
            <w:tcBorders>
              <w:top w:val="nil"/>
            </w:tcBorders>
          </w:tcPr>
          <w:p>
            <w:pPr>
              <w:pStyle w:val="TableText"/>
              <w:ind w:left="301"/>
              <w:spacing w:before="94" w:line="183" w:lineRule="auto"/>
              <w:rPr>
                <w:sz w:val="22"/>
                <w:szCs w:val="22"/>
              </w:rPr>
            </w:pPr>
            <w:r>
              <w:rPr>
                <w:sz w:val="22"/>
                <w:szCs w:val="22"/>
                <w:b/>
                <w:bCs/>
                <w:color w:val="FFFFFF"/>
                <w:spacing w:val="-1"/>
              </w:rPr>
              <w:t>公司简称</w:t>
            </w:r>
          </w:p>
        </w:tc>
        <w:tc>
          <w:tcPr>
            <w:shd w:val="clear" w:fill="4BACC6"/>
            <w:tcW w:w="1498" w:type="dxa"/>
            <w:vAlign w:val="top"/>
            <w:tcBorders>
              <w:top w:val="nil"/>
            </w:tcBorders>
          </w:tcPr>
          <w:p>
            <w:pPr>
              <w:pStyle w:val="TableText"/>
              <w:ind w:left="309"/>
              <w:spacing w:before="93" w:line="184" w:lineRule="auto"/>
              <w:rPr>
                <w:sz w:val="22"/>
                <w:szCs w:val="22"/>
              </w:rPr>
            </w:pPr>
            <w:r>
              <w:rPr>
                <w:sz w:val="22"/>
                <w:szCs w:val="22"/>
                <w:b/>
                <w:bCs/>
                <w:color w:val="FFFFFF"/>
                <w:spacing w:val="-1"/>
              </w:rPr>
              <w:t>监管类型</w:t>
            </w:r>
          </w:p>
        </w:tc>
        <w:tc>
          <w:tcPr>
            <w:shd w:val="clear" w:fill="4BACC6"/>
            <w:tcW w:w="4563" w:type="dxa"/>
            <w:vAlign w:val="top"/>
            <w:tcBorders>
              <w:top w:val="nil"/>
            </w:tcBorders>
          </w:tcPr>
          <w:p>
            <w:pPr>
              <w:pStyle w:val="TableText"/>
              <w:ind w:left="1838"/>
              <w:spacing w:before="92" w:line="184" w:lineRule="auto"/>
              <w:rPr>
                <w:sz w:val="22"/>
                <w:szCs w:val="22"/>
              </w:rPr>
            </w:pPr>
            <w:r>
              <w:rPr>
                <w:sz w:val="22"/>
                <w:szCs w:val="22"/>
                <w:b/>
                <w:bCs/>
                <w:color w:val="FFFFFF"/>
                <w:spacing w:val="-1"/>
              </w:rPr>
              <w:t>处理事由</w:t>
            </w:r>
          </w:p>
        </w:tc>
      </w:tr>
      <w:tr>
        <w:trPr>
          <w:trHeight w:val="1805" w:hRule="atLeast"/>
        </w:trPr>
        <w:tc>
          <w:tcPr>
            <w:tcW w:w="1471" w:type="dxa"/>
            <w:vAlign w:val="top"/>
          </w:tcPr>
          <w:p>
            <w:pPr>
              <w:spacing w:line="243" w:lineRule="auto"/>
              <w:rPr>
                <w:rFonts w:ascii="Arial"/>
                <w:sz w:val="21"/>
              </w:rPr>
            </w:pPr>
            <w:r/>
          </w:p>
          <w:p>
            <w:pPr>
              <w:spacing w:line="243" w:lineRule="auto"/>
              <w:rPr>
                <w:rFonts w:ascii="Arial"/>
                <w:sz w:val="21"/>
              </w:rPr>
            </w:pPr>
            <w:r/>
          </w:p>
          <w:p>
            <w:pPr>
              <w:spacing w:line="244" w:lineRule="auto"/>
              <w:rPr>
                <w:rFonts w:ascii="Arial"/>
                <w:sz w:val="21"/>
              </w:rPr>
            </w:pPr>
            <w:r/>
          </w:p>
          <w:p>
            <w:pPr>
              <w:pStyle w:val="TableText"/>
              <w:ind w:left="373"/>
              <w:spacing w:before="86" w:line="179" w:lineRule="auto"/>
              <w:rPr/>
            </w:pPr>
            <w:r>
              <w:rPr>
                <w:spacing w:val="3"/>
              </w:rPr>
              <w:t>002181</w:t>
            </w:r>
          </w:p>
        </w:tc>
        <w:tc>
          <w:tcPr>
            <w:tcW w:w="1484" w:type="dxa"/>
            <w:vAlign w:val="top"/>
          </w:tcPr>
          <w:p>
            <w:pPr>
              <w:spacing w:line="358" w:lineRule="auto"/>
              <w:rPr>
                <w:rFonts w:ascii="Arial"/>
                <w:sz w:val="21"/>
              </w:rPr>
            </w:pPr>
            <w:r/>
          </w:p>
          <w:p>
            <w:pPr>
              <w:spacing w:line="359" w:lineRule="auto"/>
              <w:rPr>
                <w:rFonts w:ascii="Arial"/>
                <w:sz w:val="21"/>
              </w:rPr>
            </w:pPr>
            <w:r/>
          </w:p>
          <w:p>
            <w:pPr>
              <w:pStyle w:val="TableText"/>
              <w:ind w:left="365"/>
              <w:spacing w:before="86" w:line="189" w:lineRule="auto"/>
              <w:rPr/>
            </w:pPr>
            <w:r>
              <w:rPr>
                <w:spacing w:val="5"/>
              </w:rPr>
              <w:t>粤</w:t>
            </w:r>
            <w:r>
              <w:rPr>
                <w:spacing w:val="8"/>
              </w:rPr>
              <w:t xml:space="preserve"> </w:t>
            </w:r>
            <w:r>
              <w:rPr>
                <w:spacing w:val="5"/>
              </w:rPr>
              <w:t>传 媒</w:t>
            </w:r>
          </w:p>
        </w:tc>
        <w:tc>
          <w:tcPr>
            <w:tcW w:w="1498" w:type="dxa"/>
            <w:vAlign w:val="top"/>
          </w:tcPr>
          <w:p>
            <w:pPr>
              <w:spacing w:line="358" w:lineRule="auto"/>
              <w:rPr>
                <w:rFonts w:ascii="Arial"/>
                <w:sz w:val="21"/>
              </w:rPr>
            </w:pPr>
            <w:r/>
          </w:p>
          <w:p>
            <w:pPr>
              <w:spacing w:line="359" w:lineRule="auto"/>
              <w:rPr>
                <w:rFonts w:ascii="Arial"/>
                <w:sz w:val="21"/>
              </w:rPr>
            </w:pPr>
            <w:r/>
          </w:p>
          <w:p>
            <w:pPr>
              <w:pStyle w:val="TableText"/>
              <w:ind w:left="435"/>
              <w:spacing w:before="86" w:line="189" w:lineRule="auto"/>
              <w:rPr/>
            </w:pPr>
            <w:r>
              <w:rPr>
                <w:spacing w:val="8"/>
              </w:rPr>
              <w:t>监管函</w:t>
            </w:r>
          </w:p>
        </w:tc>
        <w:tc>
          <w:tcPr>
            <w:tcW w:w="4563" w:type="dxa"/>
            <w:vAlign w:val="top"/>
          </w:tcPr>
          <w:p>
            <w:pPr>
              <w:pStyle w:val="TableText"/>
              <w:ind w:left="108" w:right="227"/>
              <w:spacing w:before="86" w:line="239" w:lineRule="auto"/>
              <w:jc w:val="both"/>
              <w:rPr/>
            </w:pPr>
            <w:r>
              <w:rPr>
                <w:spacing w:val="9"/>
              </w:rPr>
              <w:t>会计差错更正及追溯调整事项导致公司披露的</w:t>
            </w:r>
            <w:r>
              <w:rPr>
                <w:spacing w:val="14"/>
                <w:w w:val="101"/>
              </w:rPr>
              <w:t xml:space="preserve"> </w:t>
            </w:r>
            <w:r>
              <w:rPr>
                <w:spacing w:val="7"/>
              </w:rPr>
              <w:t>业绩预告中预计的 2023 年度归属于母公司股</w:t>
            </w:r>
            <w:r>
              <w:rPr>
                <w:spacing w:val="5"/>
              </w:rPr>
              <w:t xml:space="preserve">  </w:t>
            </w:r>
            <w:r>
              <w:rPr>
                <w:spacing w:val="7"/>
              </w:rPr>
              <w:t>东的净利润与 2023 年年度报告披露的 经审计</w:t>
            </w:r>
            <w:r>
              <w:rPr>
                <w:spacing w:val="6"/>
              </w:rPr>
              <w:t xml:space="preserve"> </w:t>
            </w:r>
            <w:r>
              <w:rPr>
                <w:spacing w:val="6"/>
              </w:rPr>
              <w:t>归属于母公司股东的净利润差异较大， </w:t>
            </w:r>
            <w:r>
              <w:rPr>
                <w:b/>
                <w:bCs/>
                <w:spacing w:val="6"/>
              </w:rPr>
              <w:t>业绩预</w:t>
            </w:r>
            <w:r>
              <w:rPr>
                <w:b/>
                <w:bCs/>
                <w:spacing w:val="9"/>
              </w:rPr>
              <w:t xml:space="preserve"> </w:t>
            </w:r>
            <w:r>
              <w:rPr>
                <w:b/>
                <w:bCs/>
                <w:spacing w:val="8"/>
              </w:rPr>
              <w:t>告信息披露不准确。</w:t>
            </w:r>
          </w:p>
        </w:tc>
      </w:tr>
      <w:tr>
        <w:trPr>
          <w:trHeight w:val="725" w:hRule="atLeast"/>
        </w:trPr>
        <w:tc>
          <w:tcPr>
            <w:shd w:val="clear" w:fill="B8CCE4"/>
            <w:tcW w:w="1471" w:type="dxa"/>
            <w:vAlign w:val="top"/>
          </w:tcPr>
          <w:p>
            <w:pPr>
              <w:pStyle w:val="TableText"/>
              <w:ind w:left="373"/>
              <w:spacing w:before="282" w:line="178" w:lineRule="auto"/>
              <w:rPr/>
            </w:pPr>
            <w:r>
              <w:rPr>
                <w:spacing w:val="3"/>
              </w:rPr>
              <w:t>002286</w:t>
            </w:r>
          </w:p>
        </w:tc>
        <w:tc>
          <w:tcPr>
            <w:shd w:val="clear" w:fill="B8CCE4"/>
            <w:tcW w:w="1484" w:type="dxa"/>
            <w:vAlign w:val="top"/>
          </w:tcPr>
          <w:p>
            <w:pPr>
              <w:pStyle w:val="TableText"/>
              <w:ind w:left="424"/>
              <w:spacing w:before="267" w:line="189" w:lineRule="auto"/>
              <w:rPr/>
            </w:pPr>
            <w:r>
              <w:rPr>
                <w:spacing w:val="8"/>
              </w:rPr>
              <w:t>保龄宝</w:t>
            </w:r>
          </w:p>
        </w:tc>
        <w:tc>
          <w:tcPr>
            <w:shd w:val="clear" w:fill="B8CCE4"/>
            <w:tcW w:w="1498" w:type="dxa"/>
            <w:vAlign w:val="top"/>
          </w:tcPr>
          <w:p>
            <w:pPr>
              <w:pStyle w:val="TableText"/>
              <w:ind w:left="435"/>
              <w:spacing w:before="267" w:line="189" w:lineRule="auto"/>
              <w:rPr/>
            </w:pPr>
            <w:r>
              <w:rPr>
                <w:spacing w:val="8"/>
              </w:rPr>
              <w:t>监管函</w:t>
            </w:r>
          </w:p>
        </w:tc>
        <w:tc>
          <w:tcPr>
            <w:shd w:val="clear" w:fill="B8CCE4"/>
            <w:tcW w:w="4563" w:type="dxa"/>
            <w:vAlign w:val="top"/>
          </w:tcPr>
          <w:p>
            <w:pPr>
              <w:pStyle w:val="TableText"/>
              <w:ind w:left="137" w:right="253" w:hanging="28"/>
              <w:spacing w:before="85" w:line="220" w:lineRule="auto"/>
              <w:rPr/>
            </w:pPr>
            <w:r>
              <w:rPr>
                <w:spacing w:val="9"/>
              </w:rPr>
              <w:t>控股股东强制平仓未在减持股份的十五个交易</w:t>
            </w:r>
            <w:r>
              <w:rPr>
                <w:spacing w:val="13"/>
              </w:rPr>
              <w:t xml:space="preserve"> </w:t>
            </w:r>
            <w:r>
              <w:rPr>
                <w:spacing w:val="5"/>
              </w:rPr>
              <w:t>日前披露</w:t>
            </w:r>
            <w:r>
              <w:rPr>
                <w:b/>
                <w:bCs/>
                <w:spacing w:val="5"/>
              </w:rPr>
              <w:t>减持计划。</w:t>
            </w:r>
          </w:p>
        </w:tc>
      </w:tr>
      <w:tr>
        <w:trPr>
          <w:trHeight w:val="724" w:hRule="atLeast"/>
        </w:trPr>
        <w:tc>
          <w:tcPr>
            <w:tcW w:w="1471" w:type="dxa"/>
            <w:vAlign w:val="top"/>
          </w:tcPr>
          <w:p>
            <w:pPr>
              <w:pStyle w:val="TableText"/>
              <w:ind w:left="379"/>
              <w:spacing w:before="280" w:line="179" w:lineRule="auto"/>
              <w:rPr/>
            </w:pPr>
            <w:r>
              <w:rPr>
                <w:spacing w:val="3"/>
              </w:rPr>
              <w:t>301040</w:t>
            </w:r>
          </w:p>
        </w:tc>
        <w:tc>
          <w:tcPr>
            <w:tcW w:w="1484" w:type="dxa"/>
            <w:vAlign w:val="top"/>
          </w:tcPr>
          <w:p>
            <w:pPr>
              <w:pStyle w:val="TableText"/>
              <w:ind w:left="333"/>
              <w:spacing w:before="267" w:line="189" w:lineRule="auto"/>
              <w:rPr/>
            </w:pPr>
            <w:r>
              <w:rPr>
                <w:spacing w:val="5"/>
              </w:rPr>
              <w:t>中环海陆</w:t>
            </w:r>
          </w:p>
        </w:tc>
        <w:tc>
          <w:tcPr>
            <w:tcW w:w="1498" w:type="dxa"/>
            <w:vAlign w:val="top"/>
          </w:tcPr>
          <w:p>
            <w:pPr>
              <w:pStyle w:val="TableText"/>
              <w:ind w:left="435"/>
              <w:spacing w:before="266" w:line="189" w:lineRule="auto"/>
              <w:rPr/>
            </w:pPr>
            <w:r>
              <w:rPr>
                <w:spacing w:val="8"/>
              </w:rPr>
              <w:t>监管函</w:t>
            </w:r>
          </w:p>
        </w:tc>
        <w:tc>
          <w:tcPr>
            <w:tcW w:w="4563" w:type="dxa"/>
            <w:vAlign w:val="top"/>
          </w:tcPr>
          <w:p>
            <w:pPr>
              <w:pStyle w:val="TableText"/>
              <w:ind w:left="109" w:right="253"/>
              <w:spacing w:before="87" w:line="219" w:lineRule="auto"/>
              <w:rPr/>
            </w:pPr>
            <w:r>
              <w:rPr>
                <w:spacing w:val="9"/>
              </w:rPr>
              <w:t>公司首次</w:t>
            </w:r>
            <w:r>
              <w:rPr>
                <w:b/>
                <w:bCs/>
                <w:spacing w:val="9"/>
              </w:rPr>
              <w:t>业绩预告</w:t>
            </w:r>
            <w:r>
              <w:rPr>
                <w:spacing w:val="9"/>
              </w:rPr>
              <w:t>与实际业绩差异金额较大且</w:t>
            </w:r>
            <w:r>
              <w:rPr>
                <w:spacing w:val="14"/>
              </w:rPr>
              <w:t xml:space="preserve"> </w:t>
            </w:r>
            <w:r>
              <w:rPr>
                <w:spacing w:val="8"/>
              </w:rPr>
              <w:t>盈亏性质发生变化。</w:t>
            </w:r>
          </w:p>
        </w:tc>
      </w:tr>
      <w:tr>
        <w:trPr>
          <w:trHeight w:val="431" w:hRule="atLeast"/>
        </w:trPr>
        <w:tc>
          <w:tcPr>
            <w:shd w:val="clear" w:fill="B8CCE4"/>
            <w:tcW w:w="1471" w:type="dxa"/>
            <w:vAlign w:val="top"/>
          </w:tcPr>
          <w:p>
            <w:pPr>
              <w:pStyle w:val="TableText"/>
              <w:ind w:left="373"/>
              <w:spacing w:before="138" w:line="178" w:lineRule="auto"/>
              <w:rPr/>
            </w:pPr>
            <w:r>
              <w:rPr>
                <w:spacing w:val="3"/>
              </w:rPr>
              <w:t>002945</w:t>
            </w:r>
          </w:p>
        </w:tc>
        <w:tc>
          <w:tcPr>
            <w:shd w:val="clear" w:fill="B8CCE4"/>
            <w:tcW w:w="1484" w:type="dxa"/>
            <w:vAlign w:val="top"/>
          </w:tcPr>
          <w:p>
            <w:pPr>
              <w:pStyle w:val="TableText"/>
              <w:ind w:left="320"/>
              <w:spacing w:before="123" w:line="189" w:lineRule="auto"/>
              <w:rPr/>
            </w:pPr>
            <w:r>
              <w:rPr>
                <w:spacing w:val="8"/>
              </w:rPr>
              <w:t>华林证券</w:t>
            </w:r>
          </w:p>
        </w:tc>
        <w:tc>
          <w:tcPr>
            <w:shd w:val="clear" w:fill="B8CCE4"/>
            <w:tcW w:w="1498" w:type="dxa"/>
            <w:vAlign w:val="top"/>
          </w:tcPr>
          <w:p>
            <w:pPr>
              <w:pStyle w:val="TableText"/>
              <w:ind w:left="435"/>
              <w:spacing w:before="123" w:line="189" w:lineRule="auto"/>
              <w:rPr/>
            </w:pPr>
            <w:r>
              <w:rPr>
                <w:spacing w:val="8"/>
              </w:rPr>
              <w:t>监管函</w:t>
            </w:r>
          </w:p>
        </w:tc>
        <w:tc>
          <w:tcPr>
            <w:shd w:val="clear" w:fill="B8CCE4"/>
            <w:tcW w:w="4563" w:type="dxa"/>
            <w:vAlign w:val="top"/>
          </w:tcPr>
          <w:p>
            <w:pPr>
              <w:pStyle w:val="TableText"/>
              <w:ind w:left="110"/>
              <w:spacing w:before="122" w:line="190" w:lineRule="auto"/>
              <w:rPr/>
            </w:pPr>
            <w:r>
              <w:rPr>
                <w:b/>
                <w:bCs/>
                <w:spacing w:val="5"/>
              </w:rPr>
              <w:t>业绩预告</w:t>
            </w:r>
            <w:r>
              <w:rPr>
                <w:spacing w:val="5"/>
              </w:rPr>
              <w:t>披露不准确； 未及时披露</w:t>
            </w:r>
            <w:r>
              <w:rPr>
                <w:b/>
                <w:bCs/>
                <w:spacing w:val="5"/>
              </w:rPr>
              <w:t>仲裁</w:t>
            </w:r>
            <w:r>
              <w:rPr>
                <w:spacing w:val="5"/>
              </w:rPr>
              <w:t>事项。</w:t>
            </w:r>
          </w:p>
        </w:tc>
      </w:tr>
      <w:tr>
        <w:trPr>
          <w:trHeight w:val="1445" w:hRule="atLeast"/>
        </w:trPr>
        <w:tc>
          <w:tcPr>
            <w:tcW w:w="1471" w:type="dxa"/>
            <w:vAlign w:val="top"/>
          </w:tcPr>
          <w:p>
            <w:pPr>
              <w:spacing w:line="276" w:lineRule="auto"/>
              <w:rPr>
                <w:rFonts w:ascii="Arial"/>
                <w:sz w:val="21"/>
              </w:rPr>
            </w:pPr>
            <w:r/>
          </w:p>
          <w:p>
            <w:pPr>
              <w:spacing w:line="276" w:lineRule="auto"/>
              <w:rPr>
                <w:rFonts w:ascii="Arial"/>
                <w:sz w:val="21"/>
              </w:rPr>
            </w:pPr>
            <w:r/>
          </w:p>
          <w:p>
            <w:pPr>
              <w:pStyle w:val="TableText"/>
              <w:ind w:left="379"/>
              <w:spacing w:before="86" w:line="179" w:lineRule="auto"/>
              <w:rPr/>
            </w:pPr>
            <w:r>
              <w:rPr>
                <w:spacing w:val="3"/>
              </w:rPr>
              <w:t>300163</w:t>
            </w:r>
          </w:p>
        </w:tc>
        <w:tc>
          <w:tcPr>
            <w:tcW w:w="1484" w:type="dxa"/>
            <w:vAlign w:val="top"/>
          </w:tcPr>
          <w:p>
            <w:pPr>
              <w:spacing w:line="270" w:lineRule="auto"/>
              <w:rPr>
                <w:rFonts w:ascii="Arial"/>
                <w:sz w:val="21"/>
              </w:rPr>
            </w:pPr>
            <w:r/>
          </w:p>
          <w:p>
            <w:pPr>
              <w:spacing w:line="270" w:lineRule="auto"/>
              <w:rPr>
                <w:rFonts w:ascii="Arial"/>
                <w:sz w:val="21"/>
              </w:rPr>
            </w:pPr>
            <w:r/>
          </w:p>
          <w:p>
            <w:pPr>
              <w:pStyle w:val="TableText"/>
              <w:ind w:left="394"/>
              <w:spacing w:before="86" w:line="188" w:lineRule="auto"/>
              <w:rPr/>
            </w:pPr>
            <w:r>
              <w:rPr/>
              <w:t>ST</w:t>
            </w:r>
            <w:r>
              <w:rPr>
                <w:spacing w:val="2"/>
              </w:rPr>
              <w:t xml:space="preserve"> 先锋</w:t>
            </w:r>
          </w:p>
        </w:tc>
        <w:tc>
          <w:tcPr>
            <w:tcW w:w="1498" w:type="dxa"/>
            <w:vAlign w:val="top"/>
          </w:tcPr>
          <w:p>
            <w:pPr>
              <w:spacing w:line="269" w:lineRule="auto"/>
              <w:rPr>
                <w:rFonts w:ascii="Arial"/>
                <w:sz w:val="21"/>
              </w:rPr>
            </w:pPr>
            <w:r/>
          </w:p>
          <w:p>
            <w:pPr>
              <w:spacing w:line="270" w:lineRule="auto"/>
              <w:rPr>
                <w:rFonts w:ascii="Arial"/>
                <w:sz w:val="21"/>
              </w:rPr>
            </w:pPr>
            <w:r/>
          </w:p>
          <w:p>
            <w:pPr>
              <w:pStyle w:val="TableText"/>
              <w:ind w:left="435"/>
              <w:spacing w:before="86" w:line="189" w:lineRule="auto"/>
              <w:rPr/>
            </w:pPr>
            <w:r>
              <w:rPr>
                <w:spacing w:val="8"/>
              </w:rPr>
              <w:t>监管函</w:t>
            </w:r>
          </w:p>
        </w:tc>
        <w:tc>
          <w:tcPr>
            <w:tcW w:w="4563" w:type="dxa"/>
            <w:vAlign w:val="top"/>
          </w:tcPr>
          <w:p>
            <w:pPr>
              <w:pStyle w:val="TableText"/>
              <w:ind w:left="109" w:right="342"/>
              <w:spacing w:before="51" w:line="247" w:lineRule="auto"/>
              <w:rPr/>
            </w:pPr>
            <w:r>
              <w:rPr>
                <w:spacing w:val="6"/>
              </w:rPr>
              <w:t>公司《</w:t>
            </w:r>
            <w:r>
              <w:rPr>
                <w:spacing w:val="-15"/>
              </w:rPr>
              <w:t xml:space="preserve"> </w:t>
            </w:r>
            <w:r>
              <w:rPr>
                <w:spacing w:val="6"/>
              </w:rPr>
              <w:t>2023 年度</w:t>
            </w:r>
            <w:r>
              <w:rPr>
                <w:b/>
                <w:bCs/>
                <w:spacing w:val="6"/>
              </w:rPr>
              <w:t>业绩预告</w:t>
            </w:r>
            <w:r>
              <w:rPr>
                <w:spacing w:val="6"/>
              </w:rPr>
              <w:t>》披露的预计净利</w:t>
            </w:r>
            <w:r>
              <w:rPr/>
              <w:t xml:space="preserve"> </w:t>
            </w:r>
            <w:r>
              <w:rPr>
                <w:spacing w:val="7"/>
              </w:rPr>
              <w:t>润、扣非后净利润与 2023 年经审计的净利</w:t>
            </w:r>
          </w:p>
          <w:p>
            <w:pPr>
              <w:pStyle w:val="TableText"/>
              <w:ind w:left="109" w:right="193"/>
              <w:spacing w:before="50" w:line="219" w:lineRule="auto"/>
              <w:rPr/>
            </w:pPr>
            <w:r>
              <w:rPr>
                <w:spacing w:val="6"/>
              </w:rPr>
              <w:t>润、 扣非后净利润存在较大差异， 业绩预告披</w:t>
            </w:r>
            <w:r>
              <w:rPr>
                <w:spacing w:val="3"/>
              </w:rPr>
              <w:t xml:space="preserve"> </w:t>
            </w:r>
            <w:r>
              <w:rPr>
                <w:spacing w:val="7"/>
              </w:rPr>
              <w:t>露信息不准确。</w:t>
            </w:r>
          </w:p>
        </w:tc>
      </w:tr>
      <w:tr>
        <w:trPr>
          <w:trHeight w:val="611" w:hRule="atLeast"/>
        </w:trPr>
        <w:tc>
          <w:tcPr>
            <w:shd w:val="clear" w:fill="B8CCE4"/>
            <w:tcW w:w="1471" w:type="dxa"/>
            <w:vAlign w:val="top"/>
          </w:tcPr>
          <w:p>
            <w:pPr>
              <w:pStyle w:val="TableText"/>
              <w:ind w:left="373"/>
              <w:spacing w:before="227" w:line="178" w:lineRule="auto"/>
              <w:rPr/>
            </w:pPr>
            <w:r>
              <w:rPr>
                <w:spacing w:val="3"/>
              </w:rPr>
              <w:t>000638</w:t>
            </w:r>
          </w:p>
        </w:tc>
        <w:tc>
          <w:tcPr>
            <w:shd w:val="clear" w:fill="B8CCE4"/>
            <w:tcW w:w="1484" w:type="dxa"/>
            <w:vAlign w:val="top"/>
          </w:tcPr>
          <w:p>
            <w:pPr>
              <w:pStyle w:val="TableText"/>
              <w:ind w:left="320"/>
              <w:spacing w:before="212" w:line="189" w:lineRule="auto"/>
              <w:rPr/>
            </w:pPr>
            <w:r>
              <w:rPr>
                <w:spacing w:val="8"/>
              </w:rPr>
              <w:t>万方发展</w:t>
            </w:r>
          </w:p>
        </w:tc>
        <w:tc>
          <w:tcPr>
            <w:shd w:val="clear" w:fill="B8CCE4"/>
            <w:tcW w:w="1498" w:type="dxa"/>
            <w:vAlign w:val="top"/>
          </w:tcPr>
          <w:p>
            <w:pPr>
              <w:pStyle w:val="TableText"/>
              <w:ind w:left="435"/>
              <w:spacing w:before="212" w:line="189" w:lineRule="auto"/>
              <w:rPr/>
            </w:pPr>
            <w:r>
              <w:rPr>
                <w:spacing w:val="8"/>
              </w:rPr>
              <w:t>监管函</w:t>
            </w:r>
          </w:p>
        </w:tc>
        <w:tc>
          <w:tcPr>
            <w:shd w:val="clear" w:fill="B8CCE4"/>
            <w:tcW w:w="4563" w:type="dxa"/>
            <w:vAlign w:val="top"/>
          </w:tcPr>
          <w:p>
            <w:pPr>
              <w:pStyle w:val="TableText"/>
              <w:ind w:left="109"/>
              <w:spacing w:before="213" w:line="189" w:lineRule="auto"/>
              <w:rPr/>
            </w:pPr>
            <w:r>
              <w:rPr>
                <w:spacing w:val="9"/>
              </w:rPr>
              <w:t>公司未及时披露</w:t>
            </w:r>
            <w:r>
              <w:rPr>
                <w:b/>
                <w:bCs/>
                <w:spacing w:val="9"/>
              </w:rPr>
              <w:t>重大债务到期未清偿</w:t>
            </w:r>
            <w:r>
              <w:rPr>
                <w:spacing w:val="9"/>
              </w:rPr>
              <w:t>事项。</w:t>
            </w:r>
          </w:p>
        </w:tc>
      </w:tr>
      <w:tr>
        <w:trPr>
          <w:trHeight w:val="613" w:hRule="atLeast"/>
        </w:trPr>
        <w:tc>
          <w:tcPr>
            <w:tcW w:w="1471" w:type="dxa"/>
            <w:vAlign w:val="top"/>
          </w:tcPr>
          <w:p>
            <w:pPr>
              <w:pStyle w:val="TableText"/>
              <w:ind w:left="373"/>
              <w:spacing w:before="226" w:line="179" w:lineRule="auto"/>
              <w:rPr/>
            </w:pPr>
            <w:r>
              <w:rPr>
                <w:spacing w:val="3"/>
              </w:rPr>
              <w:t>002431</w:t>
            </w:r>
          </w:p>
        </w:tc>
        <w:tc>
          <w:tcPr>
            <w:tcW w:w="1484" w:type="dxa"/>
            <w:vAlign w:val="top"/>
          </w:tcPr>
          <w:p>
            <w:pPr>
              <w:pStyle w:val="TableText"/>
              <w:ind w:left="319"/>
              <w:spacing w:before="213" w:line="189" w:lineRule="auto"/>
              <w:rPr/>
            </w:pPr>
            <w:r>
              <w:rPr>
                <w:spacing w:val="8"/>
              </w:rPr>
              <w:t>棕榈股份</w:t>
            </w:r>
          </w:p>
        </w:tc>
        <w:tc>
          <w:tcPr>
            <w:tcW w:w="1498" w:type="dxa"/>
            <w:vAlign w:val="top"/>
          </w:tcPr>
          <w:p>
            <w:pPr>
              <w:pStyle w:val="TableText"/>
              <w:ind w:left="435"/>
              <w:spacing w:before="213" w:line="189" w:lineRule="auto"/>
              <w:rPr/>
            </w:pPr>
            <w:r>
              <w:rPr>
                <w:spacing w:val="8"/>
              </w:rPr>
              <w:t>监管函</w:t>
            </w:r>
          </w:p>
        </w:tc>
        <w:tc>
          <w:tcPr>
            <w:tcW w:w="4563" w:type="dxa"/>
            <w:vAlign w:val="top"/>
          </w:tcPr>
          <w:p>
            <w:pPr>
              <w:pStyle w:val="TableText"/>
              <w:ind w:left="109"/>
              <w:spacing w:before="212" w:line="190" w:lineRule="auto"/>
              <w:rPr/>
            </w:pPr>
            <w:r>
              <w:rPr>
                <w:spacing w:val="9"/>
              </w:rPr>
              <w:t>公司</w:t>
            </w:r>
            <w:r>
              <w:rPr>
                <w:b/>
                <w:bCs/>
                <w:spacing w:val="9"/>
              </w:rPr>
              <w:t>业绩预告</w:t>
            </w:r>
            <w:r>
              <w:rPr>
                <w:spacing w:val="9"/>
              </w:rPr>
              <w:t>相关信息披露不准确。</w:t>
            </w:r>
          </w:p>
        </w:tc>
      </w:tr>
    </w:tbl>
    <w:p>
      <w:pPr>
        <w:pStyle w:val="BodyText"/>
        <w:rPr/>
      </w:pPr>
      <w:r/>
    </w:p>
    <w:p>
      <w:pPr>
        <w:sectPr>
          <w:pgSz w:w="11910" w:h="16840"/>
          <w:pgMar w:top="400" w:right="640" w:bottom="0" w:left="0" w:header="0" w:footer="0" w:gutter="0"/>
        </w:sectPr>
        <w:rPr/>
      </w:pPr>
    </w:p>
    <w:tbl>
      <w:tblPr>
        <w:tblStyle w:val="TableNormal"/>
        <w:tblW w:w="9016" w:type="dxa"/>
        <w:tblInd w:w="901" w:type="dxa"/>
        <w:tblLayout w:type="fixed"/>
        <w:tblBorders>
          <w:top w:val="single" w:color="4F81BD" w:sz="2" w:space="0"/>
          <w:left w:val="single" w:color="4F81BD" w:sz="2" w:space="0"/>
          <w:bottom w:val="single" w:color="4F81BD" w:sz="2" w:space="0"/>
          <w:right w:val="single" w:color="4F81BD" w:sz="2" w:space="0"/>
          <w:insideH w:val="single" w:color="4F81BD" w:sz="2" w:space="0"/>
          <w:insideV w:val="single" w:color="4F81BD" w:sz="2" w:space="0"/>
        </w:tblBorders>
      </w:tblPr>
      <w:tblGrid>
        <w:gridCol w:w="1471"/>
        <w:gridCol w:w="1484"/>
        <w:gridCol w:w="1498"/>
        <w:gridCol w:w="4563"/>
      </w:tblGrid>
      <w:tr>
        <w:trPr>
          <w:trHeight w:val="1450" w:hRule="atLeast"/>
        </w:trPr>
        <w:tc>
          <w:tcPr>
            <w:shd w:val="clear" w:fill="B8CCE4"/>
            <w:tcW w:w="1471" w:type="dxa"/>
            <w:vAlign w:val="top"/>
          </w:tcPr>
          <w:p>
            <w:pPr>
              <w:spacing w:line="277" w:lineRule="auto"/>
              <w:rPr>
                <w:rFonts w:ascii="Arial"/>
                <w:sz w:val="21"/>
              </w:rPr>
            </w:pPr>
            <w:r/>
          </w:p>
          <w:p>
            <w:pPr>
              <w:spacing w:line="277" w:lineRule="auto"/>
              <w:rPr>
                <w:rFonts w:ascii="Arial"/>
                <w:sz w:val="21"/>
              </w:rPr>
            </w:pPr>
            <w:r/>
          </w:p>
          <w:p>
            <w:pPr>
              <w:pStyle w:val="TableText"/>
              <w:ind w:left="379"/>
              <w:spacing w:before="86" w:line="179" w:lineRule="auto"/>
              <w:rPr/>
            </w:pPr>
            <w:r>
              <w:rPr>
                <w:spacing w:val="3"/>
              </w:rPr>
              <w:t>301123</w:t>
            </w:r>
          </w:p>
        </w:tc>
        <w:tc>
          <w:tcPr>
            <w:shd w:val="clear" w:fill="B8CCE4"/>
            <w:tcW w:w="1484" w:type="dxa"/>
            <w:vAlign w:val="top"/>
          </w:tcPr>
          <w:p>
            <w:pPr>
              <w:spacing w:line="270" w:lineRule="auto"/>
              <w:rPr>
                <w:rFonts w:ascii="Arial"/>
                <w:sz w:val="21"/>
              </w:rPr>
            </w:pPr>
            <w:r/>
          </w:p>
          <w:p>
            <w:pPr>
              <w:spacing w:line="270" w:lineRule="auto"/>
              <w:rPr>
                <w:rFonts w:ascii="Arial"/>
                <w:sz w:val="21"/>
              </w:rPr>
            </w:pPr>
            <w:r/>
          </w:p>
          <w:p>
            <w:pPr>
              <w:pStyle w:val="TableText"/>
              <w:ind w:left="320"/>
              <w:spacing w:before="85" w:line="190" w:lineRule="auto"/>
              <w:rPr/>
            </w:pPr>
            <w:r>
              <w:rPr>
                <w:spacing w:val="8"/>
              </w:rPr>
              <w:t>奕东电子</w:t>
            </w:r>
          </w:p>
        </w:tc>
        <w:tc>
          <w:tcPr>
            <w:shd w:val="clear" w:fill="B8CCE4"/>
            <w:tcW w:w="1498" w:type="dxa"/>
            <w:vAlign w:val="top"/>
          </w:tcPr>
          <w:p>
            <w:pPr>
              <w:spacing w:line="270" w:lineRule="auto"/>
              <w:rPr>
                <w:rFonts w:ascii="Arial"/>
                <w:sz w:val="21"/>
              </w:rPr>
            </w:pPr>
            <w:r/>
          </w:p>
          <w:p>
            <w:pPr>
              <w:spacing w:line="271" w:lineRule="auto"/>
              <w:rPr>
                <w:rFonts w:ascii="Arial"/>
                <w:sz w:val="21"/>
              </w:rPr>
            </w:pPr>
            <w:r/>
          </w:p>
          <w:p>
            <w:pPr>
              <w:pStyle w:val="TableText"/>
              <w:ind w:left="435"/>
              <w:spacing w:before="86" w:line="189" w:lineRule="auto"/>
              <w:rPr/>
            </w:pPr>
            <w:r>
              <w:rPr>
                <w:spacing w:val="8"/>
              </w:rPr>
              <w:t>监管函</w:t>
            </w:r>
          </w:p>
        </w:tc>
        <w:tc>
          <w:tcPr>
            <w:shd w:val="clear" w:fill="B8CCE4"/>
            <w:tcW w:w="4563" w:type="dxa"/>
            <w:vAlign w:val="top"/>
          </w:tcPr>
          <w:p>
            <w:pPr>
              <w:pStyle w:val="TableText"/>
              <w:ind w:left="117" w:right="253" w:hanging="8"/>
              <w:spacing w:before="88" w:line="250" w:lineRule="auto"/>
              <w:rPr/>
            </w:pPr>
            <w:r>
              <w:rPr>
                <w:spacing w:val="9"/>
              </w:rPr>
              <w:t>公司披露的</w:t>
            </w:r>
            <w:r>
              <w:rPr>
                <w:b/>
                <w:bCs/>
                <w:spacing w:val="9"/>
              </w:rPr>
              <w:t>业绩预告</w:t>
            </w:r>
            <w:r>
              <w:rPr>
                <w:spacing w:val="9"/>
              </w:rPr>
              <w:t>中的净利润与年度报告相</w:t>
            </w:r>
            <w:r>
              <w:rPr>
                <w:spacing w:val="14"/>
              </w:rPr>
              <w:t xml:space="preserve"> </w:t>
            </w:r>
            <w:r>
              <w:rPr>
                <w:spacing w:val="5"/>
              </w:rPr>
              <w:t>比存在较大差异； 扣非净利润与年度报告相</w:t>
            </w:r>
          </w:p>
          <w:p>
            <w:pPr>
              <w:pStyle w:val="TableText"/>
              <w:ind w:left="110" w:right="253" w:firstLine="7"/>
              <w:spacing w:before="5" w:line="221" w:lineRule="auto"/>
              <w:rPr/>
            </w:pPr>
            <w:r>
              <w:rPr>
                <w:spacing w:val="3"/>
              </w:rPr>
              <w:t>比， 盈亏性质发生变化且存在较大差异， 业绩</w:t>
            </w:r>
            <w:r>
              <w:rPr>
                <w:spacing w:val="1"/>
              </w:rPr>
              <w:t xml:space="preserve"> </w:t>
            </w:r>
            <w:r>
              <w:rPr>
                <w:spacing w:val="8"/>
              </w:rPr>
              <w:t>预告披露信息不准确。</w:t>
            </w:r>
          </w:p>
        </w:tc>
      </w:tr>
      <w:tr>
        <w:trPr>
          <w:trHeight w:val="1445" w:hRule="atLeast"/>
        </w:trPr>
        <w:tc>
          <w:tcPr>
            <w:tcW w:w="1471" w:type="dxa"/>
            <w:vAlign w:val="top"/>
          </w:tcPr>
          <w:p>
            <w:pPr>
              <w:spacing w:line="275" w:lineRule="auto"/>
              <w:rPr>
                <w:rFonts w:ascii="Arial"/>
                <w:sz w:val="21"/>
              </w:rPr>
            </w:pPr>
            <w:r/>
          </w:p>
          <w:p>
            <w:pPr>
              <w:spacing w:line="275" w:lineRule="auto"/>
              <w:rPr>
                <w:rFonts w:ascii="Arial"/>
                <w:sz w:val="21"/>
              </w:rPr>
            </w:pPr>
            <w:r/>
          </w:p>
          <w:p>
            <w:pPr>
              <w:pStyle w:val="TableText"/>
              <w:ind w:left="373"/>
              <w:spacing w:before="86" w:line="178" w:lineRule="auto"/>
              <w:rPr/>
            </w:pPr>
            <w:r>
              <w:rPr>
                <w:spacing w:val="3"/>
              </w:rPr>
              <w:t>000663</w:t>
            </w:r>
          </w:p>
        </w:tc>
        <w:tc>
          <w:tcPr>
            <w:tcW w:w="1484" w:type="dxa"/>
            <w:vAlign w:val="top"/>
          </w:tcPr>
          <w:p>
            <w:pPr>
              <w:spacing w:line="267" w:lineRule="auto"/>
              <w:rPr>
                <w:rFonts w:ascii="Arial"/>
                <w:sz w:val="21"/>
              </w:rPr>
            </w:pPr>
            <w:r/>
          </w:p>
          <w:p>
            <w:pPr>
              <w:spacing w:line="267" w:lineRule="auto"/>
              <w:rPr>
                <w:rFonts w:ascii="Arial"/>
                <w:sz w:val="21"/>
              </w:rPr>
            </w:pPr>
            <w:r/>
          </w:p>
          <w:p>
            <w:pPr>
              <w:pStyle w:val="TableText"/>
              <w:ind w:left="318"/>
              <w:spacing w:before="86" w:line="190" w:lineRule="auto"/>
              <w:rPr/>
            </w:pPr>
            <w:r>
              <w:rPr>
                <w:spacing w:val="8"/>
              </w:rPr>
              <w:t>永安林业</w:t>
            </w:r>
          </w:p>
        </w:tc>
        <w:tc>
          <w:tcPr>
            <w:tcW w:w="1498" w:type="dxa"/>
            <w:vAlign w:val="top"/>
          </w:tcPr>
          <w:p>
            <w:pPr>
              <w:spacing w:line="268" w:lineRule="auto"/>
              <w:rPr>
                <w:rFonts w:ascii="Arial"/>
                <w:sz w:val="21"/>
              </w:rPr>
            </w:pPr>
            <w:r/>
          </w:p>
          <w:p>
            <w:pPr>
              <w:spacing w:line="268" w:lineRule="auto"/>
              <w:rPr>
                <w:rFonts w:ascii="Arial"/>
                <w:sz w:val="21"/>
              </w:rPr>
            </w:pPr>
            <w:r/>
          </w:p>
          <w:p>
            <w:pPr>
              <w:pStyle w:val="TableText"/>
              <w:ind w:left="435"/>
              <w:spacing w:before="85" w:line="189" w:lineRule="auto"/>
              <w:rPr/>
            </w:pPr>
            <w:r>
              <w:rPr>
                <w:spacing w:val="8"/>
              </w:rPr>
              <w:t>监管函</w:t>
            </w:r>
          </w:p>
        </w:tc>
        <w:tc>
          <w:tcPr>
            <w:tcW w:w="4563" w:type="dxa"/>
            <w:vAlign w:val="top"/>
          </w:tcPr>
          <w:p>
            <w:pPr>
              <w:pStyle w:val="TableText"/>
              <w:ind w:left="109" w:right="177"/>
              <w:spacing w:before="50" w:line="242" w:lineRule="auto"/>
              <w:rPr/>
            </w:pPr>
            <w:r>
              <w:rPr>
                <w:spacing w:val="7"/>
              </w:rPr>
              <w:t>公司披露的《关于 2022 年年度报告全文及</w:t>
            </w:r>
            <w:r>
              <w:rPr/>
              <w:t xml:space="preserve">      </w:t>
            </w:r>
            <w:r>
              <w:rPr>
                <w:spacing w:val="6"/>
              </w:rPr>
              <w:t>2023 年年度报告全文的补充更正公告》显示，</w:t>
            </w:r>
            <w:r>
              <w:rPr>
                <w:spacing w:val="4"/>
              </w:rPr>
              <w:t xml:space="preserve"> </w:t>
            </w:r>
            <w:r>
              <w:rPr>
                <w:spacing w:val="4"/>
              </w:rPr>
              <w:t>公司 《</w:t>
            </w:r>
            <w:r>
              <w:rPr>
                <w:spacing w:val="-23"/>
              </w:rPr>
              <w:t xml:space="preserve"> </w:t>
            </w:r>
            <w:r>
              <w:rPr>
                <w:spacing w:val="4"/>
              </w:rPr>
              <w:t>2022 年年度报告》《</w:t>
            </w:r>
            <w:r>
              <w:rPr>
                <w:spacing w:val="-30"/>
              </w:rPr>
              <w:t xml:space="preserve"> </w:t>
            </w:r>
            <w:r>
              <w:rPr>
                <w:spacing w:val="4"/>
              </w:rPr>
              <w:t>2023 年年度报</w:t>
            </w:r>
            <w:r>
              <w:rPr/>
              <w:t xml:space="preserve">    </w:t>
            </w:r>
            <w:r>
              <w:rPr>
                <w:spacing w:val="8"/>
              </w:rPr>
              <w:t>告》</w:t>
            </w:r>
            <w:r>
              <w:rPr>
                <w:b/>
                <w:bCs/>
                <w:spacing w:val="8"/>
              </w:rPr>
              <w:t>披露内容存在错漏。</w:t>
            </w:r>
          </w:p>
        </w:tc>
      </w:tr>
      <w:tr>
        <w:trPr>
          <w:trHeight w:val="3245" w:hRule="atLeast"/>
        </w:trPr>
        <w:tc>
          <w:tcPr>
            <w:shd w:val="clear" w:fill="B8CCE4"/>
            <w:tcW w:w="1471" w:type="dxa"/>
            <w:vAlign w:val="top"/>
          </w:tcPr>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2" w:lineRule="auto"/>
              <w:rPr>
                <w:rFonts w:ascii="Arial"/>
                <w:sz w:val="21"/>
              </w:rPr>
            </w:pPr>
            <w:r/>
          </w:p>
          <w:p>
            <w:pPr>
              <w:pStyle w:val="TableText"/>
              <w:ind w:left="373"/>
              <w:spacing w:before="86" w:line="178" w:lineRule="auto"/>
              <w:rPr/>
            </w:pPr>
            <w:r>
              <w:rPr>
                <w:spacing w:val="3"/>
              </w:rPr>
              <w:t>002325</w:t>
            </w:r>
          </w:p>
        </w:tc>
        <w:tc>
          <w:tcPr>
            <w:shd w:val="clear" w:fill="B8CCE4"/>
            <w:tcW w:w="1484" w:type="dxa"/>
            <w:vAlign w:val="top"/>
          </w:tcPr>
          <w:p>
            <w:pPr>
              <w:spacing w:line="286" w:lineRule="auto"/>
              <w:rPr>
                <w:rFonts w:ascii="Arial"/>
                <w:sz w:val="21"/>
              </w:rPr>
            </w:pPr>
            <w:r/>
          </w:p>
          <w:p>
            <w:pPr>
              <w:spacing w:line="286" w:lineRule="auto"/>
              <w:rPr>
                <w:rFonts w:ascii="Arial"/>
                <w:sz w:val="21"/>
              </w:rPr>
            </w:pPr>
            <w:r/>
          </w:p>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pStyle w:val="TableText"/>
              <w:ind w:left="341"/>
              <w:spacing w:before="86" w:line="188" w:lineRule="auto"/>
              <w:rPr/>
            </w:pPr>
            <w:r>
              <w:rPr>
                <w:spacing w:val="3"/>
              </w:rPr>
              <w:t>*</w:t>
            </w:r>
            <w:r>
              <w:rPr/>
              <w:t>ST</w:t>
            </w:r>
            <w:r>
              <w:rPr>
                <w:spacing w:val="3"/>
              </w:rPr>
              <w:t xml:space="preserve"> 洪涛</w:t>
            </w:r>
          </w:p>
        </w:tc>
        <w:tc>
          <w:tcPr>
            <w:shd w:val="clear" w:fill="B8CCE4"/>
            <w:tcW w:w="1498" w:type="dxa"/>
            <w:vAlign w:val="top"/>
          </w:tcPr>
          <w:p>
            <w:pPr>
              <w:spacing w:line="286" w:lineRule="auto"/>
              <w:rPr>
                <w:rFonts w:ascii="Arial"/>
                <w:sz w:val="21"/>
              </w:rPr>
            </w:pPr>
            <w:r/>
          </w:p>
          <w:p>
            <w:pPr>
              <w:spacing w:line="286" w:lineRule="auto"/>
              <w:rPr>
                <w:rFonts w:ascii="Arial"/>
                <w:sz w:val="21"/>
              </w:rPr>
            </w:pPr>
            <w:r/>
          </w:p>
          <w:p>
            <w:pPr>
              <w:spacing w:line="286" w:lineRule="auto"/>
              <w:rPr>
                <w:rFonts w:ascii="Arial"/>
                <w:sz w:val="21"/>
              </w:rPr>
            </w:pPr>
            <w:r/>
          </w:p>
          <w:p>
            <w:pPr>
              <w:spacing w:line="287" w:lineRule="auto"/>
              <w:rPr>
                <w:rFonts w:ascii="Arial"/>
                <w:sz w:val="21"/>
              </w:rPr>
            </w:pPr>
            <w:r/>
          </w:p>
          <w:p>
            <w:pPr>
              <w:spacing w:line="287" w:lineRule="auto"/>
              <w:rPr>
                <w:rFonts w:ascii="Arial"/>
                <w:sz w:val="21"/>
              </w:rPr>
            </w:pPr>
            <w:r/>
          </w:p>
          <w:p>
            <w:pPr>
              <w:pStyle w:val="TableText"/>
              <w:ind w:left="435"/>
              <w:spacing w:before="86" w:line="189" w:lineRule="auto"/>
              <w:rPr/>
            </w:pPr>
            <w:r>
              <w:rPr>
                <w:spacing w:val="8"/>
              </w:rPr>
              <w:t>监管函</w:t>
            </w:r>
          </w:p>
        </w:tc>
        <w:tc>
          <w:tcPr>
            <w:shd w:val="clear" w:fill="B8CCE4"/>
            <w:tcW w:w="4563" w:type="dxa"/>
            <w:vAlign w:val="top"/>
          </w:tcPr>
          <w:p>
            <w:pPr>
              <w:pStyle w:val="TableText"/>
              <w:ind w:left="108" w:right="138" w:firstLine="1"/>
              <w:spacing w:before="86" w:line="251" w:lineRule="auto"/>
              <w:rPr/>
            </w:pPr>
            <w:r>
              <w:rPr>
                <w:spacing w:val="4"/>
              </w:rPr>
              <w:t>公司董事会于 2024 年 5 月 13</w:t>
            </w:r>
            <w:r>
              <w:rPr>
                <w:spacing w:val="25"/>
              </w:rPr>
              <w:t xml:space="preserve"> </w:t>
            </w:r>
            <w:r>
              <w:rPr>
                <w:spacing w:val="4"/>
              </w:rPr>
              <w:t>日收到书面辞职</w:t>
            </w:r>
            <w:r>
              <w:rPr/>
              <w:t xml:space="preserve"> </w:t>
            </w:r>
            <w:r>
              <w:rPr>
                <w:spacing w:val="6"/>
              </w:rPr>
              <w:t>报告， 公司董事、 副董事长、总裁及所兼任公</w:t>
            </w:r>
            <w:r>
              <w:rPr>
                <w:spacing w:val="2"/>
              </w:rPr>
              <w:t xml:space="preserve">  </w:t>
            </w:r>
            <w:r>
              <w:rPr>
                <w:spacing w:val="9"/>
              </w:rPr>
              <w:t>司董事会战略、信息披露等委员会委员因个人</w:t>
            </w:r>
            <w:r>
              <w:rPr>
                <w:spacing w:val="5"/>
              </w:rPr>
              <w:t xml:space="preserve">   </w:t>
            </w:r>
            <w:r>
              <w:rPr>
                <w:spacing w:val="4"/>
              </w:rPr>
              <w:t>原因申请辞去一切职务， 但公司迟至 6 月 17</w:t>
            </w:r>
          </w:p>
          <w:p>
            <w:pPr>
              <w:pStyle w:val="TableText"/>
              <w:ind w:left="109" w:right="138" w:firstLine="29"/>
              <w:spacing w:before="4" w:line="239" w:lineRule="auto"/>
              <w:rPr/>
            </w:pPr>
            <w:r>
              <w:rPr>
                <w:spacing w:val="3"/>
              </w:rPr>
              <w:t>日才</w:t>
            </w:r>
            <w:r>
              <w:rPr>
                <w:b/>
                <w:bCs/>
                <w:spacing w:val="3"/>
              </w:rPr>
              <w:t>披露相关公告</w:t>
            </w:r>
            <w:r>
              <w:rPr>
                <w:spacing w:val="3"/>
              </w:rPr>
              <w:t>。公司于 2024 年 5 月 </w:t>
            </w:r>
            <w:r>
              <w:rPr>
                <w:spacing w:val="2"/>
              </w:rPr>
              <w:t>27</w:t>
            </w:r>
            <w:r>
              <w:rPr>
                <w:spacing w:val="26"/>
              </w:rPr>
              <w:t xml:space="preserve"> </w:t>
            </w:r>
            <w:r>
              <w:rPr>
                <w:spacing w:val="2"/>
              </w:rPr>
              <w:t>日</w:t>
            </w:r>
            <w:r>
              <w:rPr/>
              <w:t xml:space="preserve"> </w:t>
            </w:r>
            <w:r>
              <w:rPr>
                <w:spacing w:val="6"/>
              </w:rPr>
              <w:t>提交了《股份减持计划告知函， 公司在知悉相</w:t>
            </w:r>
            <w:r>
              <w:rPr>
                <w:spacing w:val="2"/>
              </w:rPr>
              <w:t xml:space="preserve">   </w:t>
            </w:r>
            <w:r>
              <w:rPr>
                <w:spacing w:val="6"/>
              </w:rPr>
              <w:t>关人员已辞去董事及高管职务， </w:t>
            </w:r>
            <w:r>
              <w:rPr>
                <w:b/>
                <w:bCs/>
                <w:spacing w:val="6"/>
              </w:rPr>
              <w:t>其依法在离职</w:t>
            </w:r>
            <w:r>
              <w:rPr>
                <w:b/>
                <w:bCs/>
                <w:spacing w:val="3"/>
              </w:rPr>
              <w:t xml:space="preserve">   </w:t>
            </w:r>
            <w:r>
              <w:rPr>
                <w:b/>
                <w:bCs/>
                <w:spacing w:val="6"/>
              </w:rPr>
              <w:t>后六个月内不得减持的情况下， 仍刻意隐瞒相</w:t>
            </w:r>
            <w:r>
              <w:rPr>
                <w:b/>
                <w:bCs/>
                <w:spacing w:val="2"/>
              </w:rPr>
              <w:t xml:space="preserve">   </w:t>
            </w:r>
            <w:r>
              <w:rPr>
                <w:b/>
                <w:bCs/>
                <w:spacing w:val="8"/>
              </w:rPr>
              <w:t>关情况提交其股份减持申请。</w:t>
            </w:r>
          </w:p>
        </w:tc>
      </w:tr>
      <w:tr>
        <w:trPr>
          <w:trHeight w:val="724" w:hRule="atLeast"/>
        </w:trPr>
        <w:tc>
          <w:tcPr>
            <w:tcW w:w="1471" w:type="dxa"/>
            <w:vAlign w:val="top"/>
          </w:tcPr>
          <w:p>
            <w:pPr>
              <w:pStyle w:val="TableText"/>
              <w:ind w:left="373"/>
              <w:spacing w:before="284" w:line="178" w:lineRule="auto"/>
              <w:rPr/>
            </w:pPr>
            <w:r>
              <w:rPr>
                <w:spacing w:val="3"/>
              </w:rPr>
              <w:t>002748</w:t>
            </w:r>
          </w:p>
        </w:tc>
        <w:tc>
          <w:tcPr>
            <w:tcW w:w="1484" w:type="dxa"/>
            <w:vAlign w:val="top"/>
          </w:tcPr>
          <w:p>
            <w:pPr>
              <w:pStyle w:val="TableText"/>
              <w:ind w:left="394"/>
              <w:spacing w:before="270" w:line="188" w:lineRule="auto"/>
              <w:rPr/>
            </w:pPr>
            <w:r>
              <w:rPr/>
              <w:t>ST</w:t>
            </w:r>
            <w:r>
              <w:rPr>
                <w:spacing w:val="2"/>
              </w:rPr>
              <w:t xml:space="preserve"> 世龙</w:t>
            </w:r>
          </w:p>
        </w:tc>
        <w:tc>
          <w:tcPr>
            <w:tcW w:w="1498" w:type="dxa"/>
            <w:vAlign w:val="top"/>
          </w:tcPr>
          <w:p>
            <w:pPr>
              <w:pStyle w:val="TableText"/>
              <w:ind w:left="327"/>
              <w:spacing w:before="272" w:line="187" w:lineRule="auto"/>
              <w:rPr/>
            </w:pPr>
            <w:r>
              <w:rPr>
                <w:spacing w:val="8"/>
              </w:rPr>
              <w:t>公开谴责</w:t>
            </w:r>
          </w:p>
        </w:tc>
        <w:tc>
          <w:tcPr>
            <w:tcW w:w="4563" w:type="dxa"/>
            <w:vAlign w:val="top"/>
          </w:tcPr>
          <w:p>
            <w:pPr>
              <w:pStyle w:val="TableText"/>
              <w:ind w:left="109" w:right="253"/>
              <w:spacing w:before="87" w:line="219" w:lineRule="auto"/>
              <w:rPr/>
            </w:pPr>
            <w:r>
              <w:rPr>
                <w:spacing w:val="6"/>
              </w:rPr>
              <w:t>汪国清未依规履行向公司报告义务， 导致公司</w:t>
            </w:r>
            <w:r>
              <w:rPr>
                <w:spacing w:val="8"/>
              </w:rPr>
              <w:t xml:space="preserve"> </w:t>
            </w:r>
            <w:r>
              <w:rPr>
                <w:b/>
                <w:bCs/>
                <w:spacing w:val="8"/>
              </w:rPr>
              <w:t>关联方信息</w:t>
            </w:r>
            <w:r>
              <w:rPr>
                <w:spacing w:val="8"/>
              </w:rPr>
              <w:t>披露不完整、不准确。</w:t>
            </w:r>
          </w:p>
        </w:tc>
      </w:tr>
      <w:tr>
        <w:trPr>
          <w:trHeight w:val="730" w:hRule="atLeast"/>
        </w:trPr>
        <w:tc>
          <w:tcPr>
            <w:shd w:val="clear" w:fill="B8CCE4"/>
            <w:tcW w:w="1471" w:type="dxa"/>
            <w:vAlign w:val="top"/>
          </w:tcPr>
          <w:p>
            <w:pPr>
              <w:pStyle w:val="TableText"/>
              <w:ind w:left="373"/>
              <w:spacing w:before="283" w:line="179" w:lineRule="auto"/>
              <w:rPr/>
            </w:pPr>
            <w:r>
              <w:rPr>
                <w:spacing w:val="3"/>
              </w:rPr>
              <w:t>000812</w:t>
            </w:r>
          </w:p>
        </w:tc>
        <w:tc>
          <w:tcPr>
            <w:shd w:val="clear" w:fill="B8CCE4"/>
            <w:tcW w:w="1484" w:type="dxa"/>
            <w:vAlign w:val="top"/>
          </w:tcPr>
          <w:p>
            <w:pPr>
              <w:pStyle w:val="TableText"/>
              <w:ind w:left="328"/>
              <w:spacing w:before="271" w:line="188" w:lineRule="auto"/>
              <w:rPr/>
            </w:pPr>
            <w:r>
              <w:rPr>
                <w:spacing w:val="6"/>
              </w:rPr>
              <w:t>陕西金叶</w:t>
            </w:r>
          </w:p>
        </w:tc>
        <w:tc>
          <w:tcPr>
            <w:shd w:val="clear" w:fill="B8CCE4"/>
            <w:tcW w:w="1498" w:type="dxa"/>
            <w:vAlign w:val="top"/>
          </w:tcPr>
          <w:p>
            <w:pPr>
              <w:pStyle w:val="TableText"/>
              <w:ind w:left="327"/>
              <w:spacing w:before="271" w:line="188" w:lineRule="auto"/>
              <w:rPr/>
            </w:pPr>
            <w:r>
              <w:rPr>
                <w:spacing w:val="8"/>
              </w:rPr>
              <w:t>通报批评</w:t>
            </w:r>
          </w:p>
        </w:tc>
        <w:tc>
          <w:tcPr>
            <w:shd w:val="clear" w:fill="B8CCE4"/>
            <w:tcW w:w="4563" w:type="dxa"/>
            <w:vAlign w:val="top"/>
          </w:tcPr>
          <w:p>
            <w:pPr>
              <w:pStyle w:val="TableText"/>
              <w:ind w:left="109" w:right="296" w:hanging="1"/>
              <w:spacing w:before="47" w:line="235" w:lineRule="auto"/>
              <w:rPr/>
            </w:pPr>
            <w:r>
              <w:rPr>
                <w:spacing w:val="5"/>
              </w:rPr>
              <w:t>股东在买入陕西金叶股票</w:t>
            </w:r>
            <w:r>
              <w:rPr>
                <w:b/>
                <w:bCs/>
                <w:spacing w:val="5"/>
              </w:rPr>
              <w:t>达到 5%时</w:t>
            </w:r>
            <w:r>
              <w:rPr>
                <w:spacing w:val="5"/>
              </w:rPr>
              <w:t>， 未依规</w:t>
            </w:r>
            <w:r>
              <w:rPr>
                <w:spacing w:val="12"/>
              </w:rPr>
              <w:t xml:space="preserve"> </w:t>
            </w:r>
            <w:r>
              <w:rPr>
                <w:spacing w:val="9"/>
              </w:rPr>
              <w:t>及时履行权益变动披露义务并停止交易。</w:t>
            </w:r>
          </w:p>
        </w:tc>
      </w:tr>
    </w:tbl>
    <w:p>
      <w:pPr>
        <w:pStyle w:val="BodyText"/>
        <w:spacing w:line="353" w:lineRule="auto"/>
        <w:rPr/>
      </w:pPr>
      <w:r/>
    </w:p>
    <w:p>
      <w:pPr>
        <w:ind w:left="552"/>
        <w:spacing w:before="103" w:line="212" w:lineRule="auto"/>
        <w:outlineLvl w:val="1"/>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12"/>
        </w:rPr>
        <w:t>（2） 问询函统计</w:t>
      </w:r>
    </w:p>
    <w:tbl>
      <w:tblPr>
        <w:tblStyle w:val="TableNormal"/>
        <w:tblW w:w="9003" w:type="dxa"/>
        <w:tblInd w:w="908" w:type="dxa"/>
        <w:tblLayout w:type="fixed"/>
        <w:tblBorders>
          <w:top w:val="single" w:color="78C0D4" w:sz="2" w:space="0"/>
          <w:left w:val="single" w:color="78C0D4" w:sz="2" w:space="0"/>
          <w:bottom w:val="single" w:color="78C0D4" w:sz="2" w:space="0"/>
          <w:right w:val="single" w:color="78C0D4" w:sz="2" w:space="0"/>
          <w:insideH w:val="single" w:color="78C0D4" w:sz="2" w:space="0"/>
          <w:insideV w:val="single" w:color="78C0D4" w:sz="2" w:space="0"/>
        </w:tblBorders>
      </w:tblPr>
      <w:tblGrid>
        <w:gridCol w:w="1105"/>
        <w:gridCol w:w="1274"/>
        <w:gridCol w:w="6624"/>
      </w:tblGrid>
      <w:tr>
        <w:trPr>
          <w:trHeight w:val="607" w:hRule="atLeast"/>
        </w:trPr>
        <w:tc>
          <w:tcPr>
            <w:shd w:val="clear" w:fill="4BACC6"/>
            <w:tcW w:w="1105" w:type="dxa"/>
            <w:vAlign w:val="top"/>
            <w:tcBorders>
              <w:left w:val="nil"/>
              <w:top w:val="nil"/>
              <w:right w:val="single" w:color="92CDDC" w:sz="2" w:space="0"/>
            </w:tcBorders>
          </w:tcPr>
          <w:p>
            <w:pPr>
              <w:pStyle w:val="TableText"/>
              <w:ind w:left="115"/>
              <w:spacing w:before="89" w:line="183" w:lineRule="auto"/>
              <w:rPr>
                <w:sz w:val="22"/>
                <w:szCs w:val="22"/>
              </w:rPr>
            </w:pPr>
            <w:r>
              <w:rPr>
                <w:sz w:val="22"/>
                <w:szCs w:val="22"/>
                <w:b/>
                <w:bCs/>
                <w:color w:val="FFFFFF"/>
                <w:spacing w:val="-1"/>
              </w:rPr>
              <w:t>公司代码</w:t>
            </w:r>
          </w:p>
        </w:tc>
        <w:tc>
          <w:tcPr>
            <w:shd w:val="clear" w:fill="4BACC6"/>
            <w:tcW w:w="1274" w:type="dxa"/>
            <w:vAlign w:val="top"/>
            <w:tcBorders>
              <w:top w:val="nil"/>
              <w:left w:val="single" w:color="92CDDC" w:sz="2" w:space="0"/>
              <w:right w:val="single" w:color="92CDDC" w:sz="2" w:space="0"/>
            </w:tcBorders>
          </w:tcPr>
          <w:p>
            <w:pPr>
              <w:pStyle w:val="TableText"/>
              <w:ind w:left="196"/>
              <w:spacing w:before="89" w:line="183" w:lineRule="auto"/>
              <w:rPr>
                <w:sz w:val="22"/>
                <w:szCs w:val="22"/>
              </w:rPr>
            </w:pPr>
            <w:r>
              <w:rPr>
                <w:sz w:val="22"/>
                <w:szCs w:val="22"/>
                <w:b/>
                <w:bCs/>
                <w:color w:val="FFFFFF"/>
                <w:spacing w:val="-1"/>
              </w:rPr>
              <w:t>公司简称</w:t>
            </w:r>
          </w:p>
        </w:tc>
        <w:tc>
          <w:tcPr>
            <w:shd w:val="clear" w:fill="4BACC6"/>
            <w:tcW w:w="6624" w:type="dxa"/>
            <w:vAlign w:val="top"/>
            <w:tcBorders>
              <w:right w:val="nil"/>
              <w:top w:val="nil"/>
              <w:left w:val="single" w:color="92CDDC" w:sz="2" w:space="0"/>
            </w:tcBorders>
          </w:tcPr>
          <w:p>
            <w:pPr>
              <w:pStyle w:val="TableText"/>
              <w:ind w:left="2881"/>
              <w:spacing w:before="88" w:line="184" w:lineRule="auto"/>
              <w:rPr>
                <w:sz w:val="22"/>
                <w:szCs w:val="22"/>
              </w:rPr>
            </w:pPr>
            <w:r>
              <w:rPr>
                <w:sz w:val="22"/>
                <w:szCs w:val="22"/>
                <w:b/>
                <w:bCs/>
                <w:color w:val="FFFFFF"/>
                <w:spacing w:val="-3"/>
              </w:rPr>
              <w:t>问询类型</w:t>
            </w:r>
          </w:p>
        </w:tc>
      </w:tr>
      <w:tr>
        <w:trPr>
          <w:trHeight w:val="466" w:hRule="atLeast"/>
        </w:trPr>
        <w:tc>
          <w:tcPr>
            <w:tcW w:w="1105" w:type="dxa"/>
            <w:vAlign w:val="top"/>
          </w:tcPr>
          <w:p>
            <w:pPr>
              <w:pStyle w:val="TableText"/>
              <w:ind w:left="189"/>
              <w:spacing w:before="152" w:line="178" w:lineRule="auto"/>
              <w:rPr/>
            </w:pPr>
            <w:r>
              <w:rPr>
                <w:spacing w:val="3"/>
              </w:rPr>
              <w:t>002325</w:t>
            </w:r>
          </w:p>
        </w:tc>
        <w:tc>
          <w:tcPr>
            <w:tcW w:w="1274" w:type="dxa"/>
            <w:vAlign w:val="top"/>
          </w:tcPr>
          <w:p>
            <w:pPr>
              <w:pStyle w:val="TableText"/>
              <w:ind w:left="236"/>
              <w:spacing w:before="138" w:line="188" w:lineRule="auto"/>
              <w:rPr/>
            </w:pPr>
            <w:r>
              <w:rPr>
                <w:spacing w:val="4"/>
              </w:rPr>
              <w:t>*</w:t>
            </w:r>
            <w:r>
              <w:rPr/>
              <w:t>ST</w:t>
            </w:r>
            <w:r>
              <w:rPr>
                <w:spacing w:val="4"/>
              </w:rPr>
              <w:t xml:space="preserve"> 洪涛</w:t>
            </w:r>
          </w:p>
        </w:tc>
        <w:tc>
          <w:tcPr>
            <w:tcW w:w="6624" w:type="dxa"/>
            <w:vAlign w:val="top"/>
          </w:tcPr>
          <w:p>
            <w:pPr>
              <w:pStyle w:val="TableText"/>
              <w:ind w:left="2997"/>
              <w:spacing w:before="137" w:line="189" w:lineRule="auto"/>
              <w:rPr/>
            </w:pPr>
            <w:r>
              <w:rPr>
                <w:spacing w:val="8"/>
              </w:rPr>
              <w:t>关注函</w:t>
            </w:r>
          </w:p>
        </w:tc>
      </w:tr>
    </w:tbl>
    <w:p>
      <w:pPr>
        <w:pStyle w:val="BodyText"/>
        <w:spacing w:line="246" w:lineRule="auto"/>
        <w:rPr/>
      </w:pPr>
      <w:r/>
    </w:p>
    <w:p>
      <w:pPr>
        <w:pStyle w:val="BodyText"/>
        <w:spacing w:line="247" w:lineRule="auto"/>
        <w:rPr/>
      </w:pPr>
      <w:r/>
    </w:p>
    <w:p>
      <w:pPr>
        <w:ind w:left="486"/>
        <w:spacing w:before="103" w:line="183"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2"/>
        </w:rPr>
        <w:t>2、市场交易监管动态</w:t>
      </w:r>
    </w:p>
    <w:p>
      <w:pPr>
        <w:pStyle w:val="BodyText"/>
        <w:spacing w:line="274" w:lineRule="auto"/>
        <w:rPr/>
      </w:pPr>
      <w:r/>
    </w:p>
    <w:p>
      <w:pPr>
        <w:ind w:left="14" w:firstLine="474"/>
        <w:spacing w:before="102" w:line="359" w:lineRule="auto"/>
        <w:rPr>
          <w:rFonts w:ascii="Microsoft YaHei" w:hAnsi="Microsoft YaHei" w:eastAsia="Microsoft YaHei" w:cs="Microsoft YaHei"/>
          <w:sz w:val="24"/>
          <w:szCs w:val="24"/>
        </w:rPr>
      </w:pPr>
      <w:r>
        <w:rPr>
          <w:rFonts w:ascii="Microsoft YaHei" w:hAnsi="Microsoft YaHei" w:eastAsia="Microsoft YaHei" w:cs="Microsoft YaHei"/>
          <w:sz w:val="24"/>
          <w:szCs w:val="24"/>
          <w:spacing w:val="-6"/>
        </w:rPr>
        <w:t>2</w:t>
      </w:r>
      <w:r>
        <w:rPr>
          <w:rFonts w:ascii="Microsoft YaHei" w:hAnsi="Microsoft YaHei" w:eastAsia="Microsoft YaHei" w:cs="Microsoft YaHei"/>
          <w:sz w:val="24"/>
          <w:szCs w:val="24"/>
          <w:spacing w:val="-5"/>
        </w:rPr>
        <w:t>024 年 6 月 17</w:t>
      </w:r>
      <w:r>
        <w:rPr>
          <w:rFonts w:ascii="Microsoft YaHei" w:hAnsi="Microsoft YaHei" w:eastAsia="Microsoft YaHei" w:cs="Microsoft YaHei"/>
          <w:sz w:val="24"/>
          <w:szCs w:val="24"/>
          <w:spacing w:val="29"/>
        </w:rPr>
        <w:t xml:space="preserve"> </w:t>
      </w:r>
      <w:r>
        <w:rPr>
          <w:rFonts w:ascii="Microsoft YaHei" w:hAnsi="Microsoft YaHei" w:eastAsia="Microsoft YaHei" w:cs="Microsoft YaHei"/>
          <w:sz w:val="24"/>
          <w:szCs w:val="24"/>
          <w:spacing w:val="-5"/>
        </w:rPr>
        <w:t>日-6 月 23</w:t>
      </w:r>
      <w:r>
        <w:rPr>
          <w:rFonts w:ascii="Microsoft YaHei" w:hAnsi="Microsoft YaHei" w:eastAsia="Microsoft YaHei" w:cs="Microsoft YaHei"/>
          <w:sz w:val="24"/>
          <w:szCs w:val="24"/>
          <w:spacing w:val="22"/>
        </w:rPr>
        <w:t xml:space="preserve"> </w:t>
      </w:r>
      <w:r>
        <w:rPr>
          <w:rFonts w:ascii="Microsoft YaHei" w:hAnsi="Microsoft YaHei" w:eastAsia="Microsoft YaHei" w:cs="Microsoft YaHei"/>
          <w:sz w:val="24"/>
          <w:szCs w:val="24"/>
          <w:spacing w:val="-5"/>
        </w:rPr>
        <w:t>日， 深交所共对 95 起证券异常交易行为采取了自律监管措施， 涉及</w:t>
      </w:r>
      <w:r>
        <w:rPr>
          <w:rFonts w:ascii="Microsoft YaHei" w:hAnsi="Microsoft YaHei" w:eastAsia="Microsoft YaHei" w:cs="Microsoft YaHei"/>
          <w:sz w:val="24"/>
          <w:szCs w:val="24"/>
          <w:spacing w:val="-4"/>
        </w:rPr>
        <w:t>盘</w:t>
      </w:r>
      <w:r>
        <w:rPr>
          <w:rFonts w:ascii="Microsoft YaHei" w:hAnsi="Microsoft YaHei" w:eastAsia="Microsoft YaHei" w:cs="Microsoft YaHei"/>
          <w:sz w:val="24"/>
          <w:szCs w:val="24"/>
        </w:rPr>
        <w:t xml:space="preserve"> </w:t>
      </w:r>
      <w:r>
        <w:rPr>
          <w:rFonts w:ascii="Microsoft YaHei" w:hAnsi="Microsoft YaHei" w:eastAsia="Microsoft YaHei" w:cs="Microsoft YaHei"/>
          <w:sz w:val="24"/>
          <w:szCs w:val="24"/>
          <w:spacing w:val="-3"/>
        </w:rPr>
        <w:t>中拉抬打压、虚假申报等异常交易情形； 共对 9 起上市公司重大事项进</w:t>
      </w:r>
      <w:r>
        <w:rPr>
          <w:rFonts w:ascii="Microsoft YaHei" w:hAnsi="Microsoft YaHei" w:eastAsia="Microsoft YaHei" w:cs="Microsoft YaHei"/>
          <w:sz w:val="24"/>
          <w:szCs w:val="24"/>
          <w:spacing w:val="-4"/>
        </w:rPr>
        <w:t>行核查。</w:t>
      </w:r>
    </w:p>
    <w:p>
      <w:pPr>
        <w:pStyle w:val="BodyText"/>
        <w:spacing w:line="331" w:lineRule="auto"/>
        <w:rPr/>
      </w:pPr>
      <w:r/>
    </w:p>
    <w:p>
      <w:pPr>
        <w:pStyle w:val="BodyText"/>
        <w:spacing w:line="332" w:lineRule="auto"/>
        <w:rPr/>
      </w:pPr>
      <w:r/>
    </w:p>
    <w:p>
      <w:pPr>
        <w:ind w:left="492"/>
        <w:spacing w:before="103" w:line="183"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3"/>
        </w:rPr>
        <w:t>3、会员监管动态</w:t>
      </w:r>
    </w:p>
    <w:p>
      <w:pPr>
        <w:pStyle w:val="BodyText"/>
        <w:spacing w:line="271" w:lineRule="auto"/>
        <w:rPr/>
      </w:pPr>
      <w:r/>
    </w:p>
    <w:p>
      <w:pPr>
        <w:ind w:firstLine="488"/>
        <w:spacing w:before="103" w:line="359" w:lineRule="auto"/>
        <w:rPr>
          <w:rFonts w:ascii="Microsoft YaHei" w:hAnsi="Microsoft YaHei" w:eastAsia="Microsoft YaHei" w:cs="Microsoft YaHei"/>
          <w:sz w:val="24"/>
          <w:szCs w:val="24"/>
        </w:rPr>
      </w:pPr>
      <w:r>
        <w:rPr>
          <w:rFonts w:ascii="Microsoft YaHei" w:hAnsi="Microsoft YaHei" w:eastAsia="Microsoft YaHei" w:cs="Microsoft YaHei"/>
          <w:sz w:val="24"/>
          <w:szCs w:val="24"/>
          <w:spacing w:val="-2"/>
        </w:rPr>
        <w:t>2024 年 6 月 17</w:t>
      </w:r>
      <w:r>
        <w:rPr>
          <w:rFonts w:ascii="Microsoft YaHei" w:hAnsi="Microsoft YaHei" w:eastAsia="Microsoft YaHei" w:cs="Microsoft YaHei"/>
          <w:sz w:val="24"/>
          <w:szCs w:val="24"/>
          <w:spacing w:val="31"/>
          <w:w w:val="101"/>
        </w:rPr>
        <w:t xml:space="preserve"> </w:t>
      </w:r>
      <w:r>
        <w:rPr>
          <w:rFonts w:ascii="Microsoft YaHei" w:hAnsi="Microsoft YaHei" w:eastAsia="Microsoft YaHei" w:cs="Microsoft YaHei"/>
          <w:sz w:val="24"/>
          <w:szCs w:val="24"/>
          <w:spacing w:val="-2"/>
        </w:rPr>
        <w:t>日-6 月 23</w:t>
      </w:r>
      <w:r>
        <w:rPr>
          <w:rFonts w:ascii="Microsoft YaHei" w:hAnsi="Microsoft YaHei" w:eastAsia="Microsoft YaHei" w:cs="Microsoft YaHei"/>
          <w:sz w:val="24"/>
          <w:szCs w:val="24"/>
          <w:spacing w:val="28"/>
          <w:w w:val="101"/>
        </w:rPr>
        <w:t xml:space="preserve"> </w:t>
      </w:r>
      <w:r>
        <w:rPr>
          <w:rFonts w:ascii="Microsoft YaHei" w:hAnsi="Microsoft YaHei" w:eastAsia="Microsoft YaHei" w:cs="Microsoft YaHei"/>
          <w:sz w:val="24"/>
          <w:szCs w:val="24"/>
          <w:spacing w:val="-2"/>
        </w:rPr>
        <w:t>日， 针对客户交易行为管理职责履行不到位的情形， 深交所对一家会</w:t>
      </w:r>
      <w:r>
        <w:rPr>
          <w:rFonts w:ascii="Microsoft YaHei" w:hAnsi="Microsoft YaHei" w:eastAsia="Microsoft YaHei" w:cs="Microsoft YaHei"/>
          <w:sz w:val="24"/>
          <w:szCs w:val="24"/>
        </w:rPr>
        <w:t xml:space="preserve"> </w:t>
      </w:r>
      <w:r>
        <w:rPr>
          <w:rFonts w:ascii="Microsoft YaHei" w:hAnsi="Microsoft YaHei" w:eastAsia="Microsoft YaHei" w:cs="Microsoft YaHei"/>
          <w:sz w:val="24"/>
          <w:szCs w:val="24"/>
          <w:spacing w:val="-1"/>
        </w:rPr>
        <w:t>员采取书面警示的监管措施。</w:t>
      </w:r>
    </w:p>
    <w:sectPr>
      <w:pgSz w:w="11910" w:h="16840"/>
      <w:pgMar w:top="400" w:right="639" w:bottom="0" w:left="444" w:header="0" w:footer="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T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default"/>
    <w:sig w:usb0="00000003" w:usb1="288F0000" w:usb2="00000006"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altName w:val="SimHei"/>
    <w:panose1 w:val="02010609060101010101"/>
    <w:charset w:val="86"/>
    <w:family w:val="auto"/>
    <w:pitch w:val="default"/>
    <w:sig w:usb0="800002BF" w:usb1="38CF7CFA" w:usb2="00000016" w:usb3="00000000" w:csb0="00040001" w:csb1="0000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86"/>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4" w:lineRule="auto"/>
      <w:rPr>
        <w:sz w:val="2"/>
      </w:rPr>
    </w:pPr>
    <w:r>
      <w:drawing>
        <wp:anchor distT="0" distB="0" distL="0" distR="0" simplePos="0" relativeHeight="251658240" behindDoc="1" locked="0" layoutInCell="0" allowOverlap="1">
          <wp:simplePos x="0" y="0"/>
          <wp:positionH relativeFrom="page">
            <wp:posOffset>0</wp:posOffset>
          </wp:positionH>
          <wp:positionV relativeFrom="page">
            <wp:posOffset>0</wp:posOffset>
          </wp:positionV>
          <wp:extent cx="7499604" cy="7441692"/>
          <wp:effectExtent l="0" t="0" r="0" b="0"/>
          <wp:wrapNone/>
          <wp:docPr id="2" name="IM 2"/>
          <wp:cNvGraphicFramePr/>
          <a:graphic>
            <a:graphicData uri="http://schemas.openxmlformats.org/drawingml/2006/picture">
              <pic:pic>
                <pic:nvPicPr>
                  <pic:cNvPr id="2" name="IM 2"/>
                  <pic:cNvPicPr/>
                </pic:nvPicPr>
                <pic:blipFill>
                  <a:blip r:embed="rId1"/>
                  <a:stretch>
                    <a:fillRect/>
                  </a:stretch>
                </pic:blipFill>
                <pic:spPr>
                  <a:xfrm rot="0">
                    <a:off x="0" y="0"/>
                    <a:ext cx="7499604" cy="7441692"/>
                  </a:xfrm>
                  <a:prstGeom prst="rect">
                    <a:avLst/>
                  </a:prstGeom>
                </pic:spPr>
              </pic:pic>
            </a:graphicData>
          </a:graphic>
        </wp:anchor>
      </w:drawing>
    </w: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4" w:lineRule="auto"/>
      <w:rPr>
        <w:sz w:val="2"/>
      </w:rPr>
    </w:pPr>
    <w:r/>
  </w:p>
</w:hdr>
</file>

<file path=word/settings.xml><?xml version="1.0" encoding="utf-8"?>
<w:settings xmlns:w="http://schemas.openxmlformats.org/wordprocessingml/2006/main">
  <w:displayBackgroundShape/>
  <w:characterSpacingControl w:val="doNotCompress"/>
  <w:compat>
    <w:spaceForUL/>
    <w:ulTrailSpace/>
    <w:compatSetting w:name="compatibilityMode" w:uri="http://schemas.microsoft.com/office/word" w:val="14"/>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0="urn:schemas-microsoft-com:office:word" xmlns:sl="http://schemas.openxmlformats.org/schemaLibrary/2006/main" xmlns:w14="http://schemas.microsoft.com/office/word/2010/wordml" mc:Ignorable="w14">
  <w:docDefaults>
    <w:rPrDefault>
      <w:rPr>
        <w:rFonts w:ascii="Arial" w:hAnsi="Arial" w:eastAsia="Arial" w:cs="Arial"/>
        <w:sz w:val="21"/>
        <w:szCs w:val="21"/>
        <w:lang w:val="en-US" w:eastAsia="en-US" w:bidi="ar-SA"/>
        <w:color w:val="000000"/>
        <w:kern w:val="0"/>
        <w:snapToGrid w:val="0"/>
      </w:rPr>
    </w:rPrDefault>
  </w:docDefaults>
  <w:style w:type="paragraph" w:styleId="Normal" w:default="1">
    <w:name w:val="Normal"/>
    <w:semiHidden/>
    <w:qFormat/>
    <w:pPr>
      <w:spacing w:line="240" w:lineRule="auto"/>
      <w:jc w:val="left"/>
      <w:autoSpaceDE w:val="0"/>
      <w:autoSpaceDN w:val="0"/>
      <w:adjustRightInd w:val="0"/>
      <w:snapToGrid w:val="0"/>
      <w:kinsoku w:val="0"/>
      <w:textAlignment w:val="baseline"/>
    </w:pPr>
    <w:rPr>
      <w:color w:val="000000"/>
      <w:kern w:val="0"/>
      <w:snapToGrid w:val="0"/>
      <w:noProof w:val="1"/>
    </w:rPr>
  </w:style>
  <w:style w:type="table" w:styleId="TableNormal" w:default="1">
    <w:name w:val="Table Normal"/>
    <w:semiHidden/>
    <w:unhideWhenUsed/>
    <w:qFormat/>
    <w:tblPr>
      <w:tblCellMar>
        <w:left w:w="0" w:type="dxa"/>
        <w:right w:w="0" w:type="dxa"/>
        <w:bottom w:w="0" w:type="dxa"/>
        <w:top w:w="0" w:type="dxa"/>
      </w:tblCellMar>
    </w:tblPr>
  </w:style>
  <w:style w:type="paragraph" w:styleId="BodyText">
    <w:name w:val="Body Text"/>
    <w:basedOn w:val="Normal"/>
    <w:semiHidden/>
    <w:qFormat/>
    <w:pPr/>
    <w:rPr>
      <w:rFonts w:ascii="Arial" w:hAnsi="Arial" w:eastAsia="Arial" w:cs="Arial"/>
      <w:sz w:val="21"/>
      <w:szCs w:val="21"/>
      <w:lang w:val="en-US" w:eastAsia="en-US" w:bidi="ar-SA"/>
    </w:rPr>
  </w:style>
  <w:style w:type="paragraph" w:styleId="TableText">
    <w:name w:val="Table Text"/>
    <w:basedOn w:val="Normal"/>
    <w:semiHidden/>
    <w:qFormat/>
    <w:pPr/>
    <w:rPr>
      <w:rFonts w:ascii="Microsoft YaHei" w:hAnsi="Microsoft YaHei" w:eastAsia="Microsoft YaHei" w:cs="Microsoft YaHei"/>
      <w:sz w:val="20"/>
      <w:szCs w:val="20"/>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8.png"/><Relationship Id="rId8" Type="http://schemas.openxmlformats.org/officeDocument/2006/relationships/image" Target="media/image7.jpeg"/><Relationship Id="rId7" Type="http://schemas.openxmlformats.org/officeDocument/2006/relationships/image" Target="media/image6.jpeg"/><Relationship Id="rId6" Type="http://schemas.openxmlformats.org/officeDocument/2006/relationships/image" Target="media/image5.png"/><Relationship Id="rId5" Type="http://schemas.openxmlformats.org/officeDocument/2006/relationships/image" Target="media/image4.jpeg"/><Relationship Id="rId4" Type="http://schemas.openxmlformats.org/officeDocument/2006/relationships/image" Target="media/image3.jpeg"/><Relationship Id="rId3" Type="http://schemas.openxmlformats.org/officeDocument/2006/relationships/image" Target="media/image2.png"/><Relationship Id="rId21" Type="http://schemas.openxmlformats.org/officeDocument/2006/relationships/fontTable" Target="fontTable.xml"/><Relationship Id="rId20" Type="http://schemas.openxmlformats.org/officeDocument/2006/relationships/styles" Target="styles.xml"/><Relationship Id="rId2" Type="http://schemas.openxmlformats.org/officeDocument/2006/relationships/header" Target="header2.xml"/><Relationship Id="rId19" Type="http://schemas.openxmlformats.org/officeDocument/2006/relationships/settings" Target="settings.xml"/><Relationship Id="rId18" Type="http://schemas.openxmlformats.org/officeDocument/2006/relationships/image" Target="media/image17.jpeg"/><Relationship Id="rId17" Type="http://schemas.openxmlformats.org/officeDocument/2006/relationships/image" Target="media/image16.jpeg"/><Relationship Id="rId16" Type="http://schemas.openxmlformats.org/officeDocument/2006/relationships/image" Target="media/image15.jpeg"/><Relationship Id="rId15" Type="http://schemas.openxmlformats.org/officeDocument/2006/relationships/image" Target="media/image14.jpeg"/><Relationship Id="rId14" Type="http://schemas.openxmlformats.org/officeDocument/2006/relationships/image" Target="media/image13.jpeg"/><Relationship Id="rId13" Type="http://schemas.openxmlformats.org/officeDocument/2006/relationships/image" Target="media/image12.jpeg"/><Relationship Id="rId12" Type="http://schemas.openxmlformats.org/officeDocument/2006/relationships/image" Target="media/image11.jpeg"/><Relationship Id="rId11" Type="http://schemas.openxmlformats.org/officeDocument/2006/relationships/image" Target="media/image10.jpeg"/><Relationship Id="rId10" Type="http://schemas.openxmlformats.org/officeDocument/2006/relationships/image" Target="media/image9.jpeg"/><Relationship Id="rId1"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docProps/app.xml><?xml version="1.0" encoding="utf-8"?>
<ap:Properties xmlns:vt="http://schemas.openxmlformats.org/officeDocument/2006/docPropsVTypes" xmlns:ap="http://schemas.openxmlformats.org/officeDocument/2006/extended-properties">
  <ap:Application>WPS 文字</ap:Application>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白尚武</dc:creator>
  <dcterms:created xsi:type="dcterms:W3CDTF">2024-06-24T10:03:32Z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2024-07-01T11:06:19</vt:filetime>
  </property>
</Properties>
</file>