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ind w:left="2592"/>
        <w:spacing w:before="356" w:line="216" w:lineRule="auto"/>
        <w:outlineLvl w:val="0"/>
        <w:rPr>
          <w:rFonts w:ascii="Microsoft YaHei" w:hAnsi="Microsoft YaHei" w:eastAsia="Microsoft YaHei" w:cs="Microsoft YaHei"/>
          <w:sz w:val="83"/>
          <w:szCs w:val="83"/>
        </w:rPr>
      </w:pPr>
      <w:r>
        <w:rPr>
          <w:rFonts w:ascii="Microsoft YaHei" w:hAnsi="Microsoft YaHei" w:eastAsia="Microsoft YaHei" w:cs="Microsoft YaHei"/>
          <w:sz w:val="83"/>
          <w:szCs w:val="83"/>
          <w:b/>
          <w:bCs/>
          <w:color w:val="FFFFFF"/>
          <w:spacing w:val="7"/>
        </w:rPr>
        <w:t>一周法规速递|监管动态</w:t>
      </w:r>
    </w:p>
    <w:p>
      <w:pPr>
        <w:ind w:left="5417"/>
        <w:spacing w:before="7" w:line="183" w:lineRule="auto"/>
        <w:rPr>
          <w:rFonts w:ascii="Microsoft YaHei" w:hAnsi="Microsoft YaHei" w:eastAsia="Microsoft YaHei" w:cs="Microsoft YaHei"/>
          <w:sz w:val="30"/>
          <w:szCs w:val="30"/>
        </w:rPr>
      </w:pP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-6"/>
        </w:rPr>
        <w:t>2024 年 06 月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37"/>
        </w:rPr>
        <w:t xml:space="preserve"> 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-6"/>
        </w:rPr>
        <w:t>10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48"/>
        </w:rPr>
        <w:t xml:space="preserve"> 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-6"/>
        </w:rPr>
        <w:t>日—2024 年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13"/>
        </w:rPr>
        <w:t xml:space="preserve"> 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-6"/>
        </w:rPr>
        <w:t>06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13"/>
        </w:rPr>
        <w:t xml:space="preserve"> 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-6"/>
        </w:rPr>
        <w:t>月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31"/>
        </w:rPr>
        <w:t xml:space="preserve"> 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-6"/>
        </w:rPr>
        <w:t>16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45"/>
        </w:rPr>
        <w:t xml:space="preserve"> 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-6"/>
        </w:rPr>
        <w:t>日</w:t>
      </w:r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ind w:left="4586" w:right="3735" w:hanging="886"/>
        <w:spacing w:before="133" w:line="195" w:lineRule="auto"/>
        <w:rPr>
          <w:rFonts w:ascii="Microsoft YaHei" w:hAnsi="Microsoft YaHei" w:eastAsia="Microsoft YaHei" w:cs="Microsoft YaHei"/>
          <w:sz w:val="31"/>
          <w:szCs w:val="31"/>
        </w:rPr>
      </w:pPr>
      <w:r>
        <w:rPr>
          <w:rFonts w:ascii="Microsoft YaHei" w:hAnsi="Microsoft YaHei" w:eastAsia="Microsoft YaHei" w:cs="Microsoft YaHei"/>
          <w:sz w:val="31"/>
          <w:szCs w:val="31"/>
          <w:b/>
          <w:bCs/>
          <w:spacing w:val="9"/>
        </w:rPr>
        <w:t>深圳价值在线咨询顾问有限公司</w:t>
      </w:r>
      <w:r>
        <w:rPr>
          <w:rFonts w:ascii="Microsoft YaHei" w:hAnsi="Microsoft YaHei" w:eastAsia="Microsoft YaHei" w:cs="Microsoft YaHei"/>
          <w:sz w:val="31"/>
          <w:szCs w:val="31"/>
          <w:b/>
          <w:bCs/>
          <w:spacing w:val="6"/>
        </w:rPr>
        <w:t xml:space="preserve"> </w:t>
      </w:r>
      <w:r>
        <w:rPr>
          <w:rFonts w:ascii="Microsoft YaHei" w:hAnsi="Microsoft YaHei" w:eastAsia="Microsoft YaHei" w:cs="Microsoft YaHei"/>
          <w:sz w:val="31"/>
          <w:szCs w:val="31"/>
          <w:b/>
          <w:bCs/>
          <w:spacing w:val="-1"/>
        </w:rPr>
        <w:t>2024 年</w:t>
      </w:r>
      <w:r>
        <w:rPr>
          <w:rFonts w:ascii="Microsoft YaHei" w:hAnsi="Microsoft YaHei" w:eastAsia="Microsoft YaHei" w:cs="Microsoft YaHei"/>
          <w:sz w:val="31"/>
          <w:szCs w:val="31"/>
          <w:b/>
          <w:bCs/>
          <w:spacing w:val="23"/>
        </w:rPr>
        <w:t xml:space="preserve"> </w:t>
      </w:r>
      <w:r>
        <w:rPr>
          <w:rFonts w:ascii="Microsoft YaHei" w:hAnsi="Microsoft YaHei" w:eastAsia="Microsoft YaHei" w:cs="Microsoft YaHei"/>
          <w:sz w:val="31"/>
          <w:szCs w:val="31"/>
          <w:b/>
          <w:bCs/>
          <w:spacing w:val="-1"/>
        </w:rPr>
        <w:t>06</w:t>
      </w:r>
      <w:r>
        <w:rPr>
          <w:rFonts w:ascii="Microsoft YaHei" w:hAnsi="Microsoft YaHei" w:eastAsia="Microsoft YaHei" w:cs="Microsoft YaHei"/>
          <w:sz w:val="31"/>
          <w:szCs w:val="31"/>
          <w:b/>
          <w:bCs/>
          <w:spacing w:val="18"/>
        </w:rPr>
        <w:t xml:space="preserve"> </w:t>
      </w:r>
      <w:r>
        <w:rPr>
          <w:rFonts w:ascii="Microsoft YaHei" w:hAnsi="Microsoft YaHei" w:eastAsia="Microsoft YaHei" w:cs="Microsoft YaHei"/>
          <w:sz w:val="31"/>
          <w:szCs w:val="31"/>
          <w:b/>
          <w:bCs/>
          <w:spacing w:val="-1"/>
        </w:rPr>
        <w:t>月</w:t>
      </w:r>
      <w:r>
        <w:rPr>
          <w:rFonts w:ascii="Microsoft YaHei" w:hAnsi="Microsoft YaHei" w:eastAsia="Microsoft YaHei" w:cs="Microsoft YaHei"/>
          <w:sz w:val="31"/>
          <w:szCs w:val="31"/>
          <w:b/>
          <w:bCs/>
          <w:spacing w:val="31"/>
        </w:rPr>
        <w:t xml:space="preserve"> </w:t>
      </w:r>
      <w:r>
        <w:rPr>
          <w:rFonts w:ascii="Microsoft YaHei" w:hAnsi="Microsoft YaHei" w:eastAsia="Microsoft YaHei" w:cs="Microsoft YaHei"/>
          <w:sz w:val="31"/>
          <w:szCs w:val="31"/>
          <w:b/>
          <w:bCs/>
          <w:spacing w:val="-1"/>
        </w:rPr>
        <w:t>17</w:t>
      </w:r>
      <w:r>
        <w:rPr>
          <w:rFonts w:ascii="Microsoft YaHei" w:hAnsi="Microsoft YaHei" w:eastAsia="Microsoft YaHei" w:cs="Microsoft YaHei"/>
          <w:sz w:val="31"/>
          <w:szCs w:val="31"/>
          <w:b/>
          <w:bCs/>
          <w:spacing w:val="43"/>
        </w:rPr>
        <w:t xml:space="preserve"> </w:t>
      </w:r>
      <w:r>
        <w:rPr>
          <w:rFonts w:ascii="Microsoft YaHei" w:hAnsi="Microsoft YaHei" w:eastAsia="Microsoft YaHei" w:cs="Microsoft YaHei"/>
          <w:sz w:val="31"/>
          <w:szCs w:val="31"/>
          <w:b/>
          <w:bCs/>
          <w:spacing w:val="-1"/>
        </w:rPr>
        <w:t>日</w:t>
      </w:r>
    </w:p>
    <w:p>
      <w:pPr>
        <w:spacing w:line="195" w:lineRule="auto"/>
        <w:sectPr>
          <w:headerReference w:type="default" r:id="rId1"/>
          <w:pgSz w:w="11910" w:h="16840"/>
          <w:pgMar w:top="400" w:right="0" w:bottom="0" w:left="0" w:header="0" w:footer="0" w:gutter="0"/>
        </w:sectPr>
        <w:rPr>
          <w:rFonts w:ascii="Microsoft YaHei" w:hAnsi="Microsoft YaHei" w:eastAsia="Microsoft YaHei" w:cs="Microsoft YaHei"/>
          <w:sz w:val="31"/>
          <w:szCs w:val="31"/>
        </w:rPr>
      </w:pPr>
    </w:p>
    <w:p>
      <w:pPr>
        <w:rPr>
          <w:rFonts w:ascii="Microsoft YaHei" w:hAnsi="Microsoft YaHei" w:eastAsia="Microsoft YaHei" w:cs="Microsoft YaHei"/>
          <w:sz w:val="43"/>
          <w:szCs w:val="43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803275</wp:posOffset>
            </wp:positionH>
            <wp:positionV relativeFrom="paragraph">
              <wp:posOffset>580047</wp:posOffset>
            </wp:positionV>
            <wp:extent cx="6674484" cy="34493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74484" cy="344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43"/>
          <w:szCs w:val="43"/>
          <w:position w:val="-39"/>
        </w:rPr>
        <w:drawing>
          <wp:inline distT="0" distB="0" distL="0" distR="0">
            <wp:extent cx="803148" cy="623964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3148" cy="623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hAnsi="Microsoft YaHei" w:eastAsia="Microsoft YaHei" w:cs="Microsoft YaHei"/>
          <w:sz w:val="43"/>
          <w:szCs w:val="43"/>
          <w:spacing w:val="15"/>
        </w:rPr>
        <w:t xml:space="preserve">   </w:t>
      </w:r>
      <w:r>
        <w:rPr>
          <w:rFonts w:ascii="Microsoft YaHei" w:hAnsi="Microsoft YaHei" w:eastAsia="Microsoft YaHei" w:cs="Microsoft YaHei"/>
          <w:sz w:val="43"/>
          <w:szCs w:val="43"/>
          <w:spacing w:val="8"/>
        </w:rPr>
        <w:t>法规速递</w:t>
      </w:r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ind w:left="1245"/>
        <w:spacing w:before="120" w:line="226" w:lineRule="auto"/>
        <w:outlineLvl w:val="0"/>
        <w:rPr>
          <w:rFonts w:ascii="Microsoft YaHei" w:hAnsi="Microsoft YaHei" w:eastAsia="Microsoft YaHei" w:cs="Microsoft YaHei"/>
          <w:sz w:val="28"/>
          <w:szCs w:val="28"/>
        </w:rPr>
      </w:pPr>
      <w:r>
        <w:rPr>
          <w:rFonts w:ascii="Microsoft YaHei" w:hAnsi="Microsoft YaHei" w:eastAsia="Microsoft YaHei" w:cs="Microsoft YaHei"/>
          <w:sz w:val="28"/>
          <w:szCs w:val="28"/>
          <w:b/>
          <w:bCs/>
          <w:color w:val="0B0B0B"/>
          <w:spacing w:val="-4"/>
        </w:rPr>
        <w:t>1、深圳证券交易所深港通业务实施办法 （2024年修订）</w:t>
      </w:r>
    </w:p>
    <w:p>
      <w:pPr>
        <w:pStyle w:val="BodyText"/>
        <w:spacing w:line="388" w:lineRule="auto"/>
        <w:rPr/>
      </w:pPr>
      <w:r/>
    </w:p>
    <w:p>
      <w:pPr>
        <w:ind w:left="662" w:right="400" w:firstLine="486"/>
        <w:spacing w:before="103" w:line="326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3"/>
        </w:rPr>
        <w:t>为持续优化互联互通机制， 进一步扩大深港通ETF标的范围， 深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4"/>
        </w:rPr>
        <w:t>圳证券交易所对《深圳证券交易所</w:t>
      </w:r>
      <w:r>
        <w:rPr>
          <w:rFonts w:ascii="Microsoft YaHei" w:hAnsi="Microsoft YaHei" w:eastAsia="Microsoft YaHei" w:cs="Microsoft YaHei"/>
          <w:sz w:val="24"/>
          <w:szCs w:val="24"/>
          <w:color w:val="0B0B0B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5"/>
        </w:rPr>
        <w:t>深港通业务实施办法》进行了修订， 经中国证监会批准， 现予以发布，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27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5"/>
        </w:rPr>
        <w:t>自发布之日2024年6月14日起</w:t>
      </w:r>
      <w:r>
        <w:rPr>
          <w:rFonts w:ascii="Microsoft YaHei" w:hAnsi="Microsoft YaHei" w:eastAsia="Microsoft YaHei" w:cs="Microsoft YaHei"/>
          <w:sz w:val="24"/>
          <w:szCs w:val="24"/>
          <w:color w:val="0B0B0B"/>
        </w:rPr>
        <w:t xml:space="preserve">  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1"/>
        </w:rPr>
        <w:t>施行。深圳证券交易所于2023年3月3日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2"/>
        </w:rPr>
        <w:t>发布的《深圳证券交易所深港通业务实施办法 （2023年修</w:t>
      </w:r>
    </w:p>
    <w:p>
      <w:pPr>
        <w:ind w:left="663"/>
        <w:spacing w:before="33" w:line="221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11"/>
        </w:rPr>
        <w:t>订） 》 （深证上〔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2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11"/>
        </w:rPr>
        <w:t>2023〕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46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11"/>
        </w:rPr>
        <w:t>153号） 同时废止。</w:t>
      </w:r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5" w:lineRule="auto"/>
        <w:rPr/>
      </w:pPr>
      <w:r/>
    </w:p>
    <w:p>
      <w:pPr>
        <w:pStyle w:val="BodyText"/>
        <w:spacing w:line="265" w:lineRule="auto"/>
        <w:rPr/>
      </w:pPr>
      <w:r/>
    </w:p>
    <w:p>
      <w:pPr>
        <w:ind w:firstLine="5126"/>
        <w:spacing w:line="2304" w:lineRule="exact"/>
        <w:rPr/>
      </w:pPr>
      <w:r>
        <w:rPr>
          <w:position w:val="-46"/>
        </w:rPr>
        <w:drawing>
          <wp:inline distT="0" distB="0" distL="0" distR="0">
            <wp:extent cx="1447800" cy="1463040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47800" cy="146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82" w:lineRule="auto"/>
        <w:rPr/>
      </w:pPr>
      <w:r/>
    </w:p>
    <w:p>
      <w:pPr>
        <w:pStyle w:val="BodyText"/>
        <w:spacing w:line="283" w:lineRule="auto"/>
        <w:rPr/>
      </w:pPr>
      <w:r/>
    </w:p>
    <w:p>
      <w:pPr>
        <w:pStyle w:val="BodyText"/>
        <w:spacing w:line="283" w:lineRule="auto"/>
        <w:rPr/>
      </w:pPr>
      <w:r/>
    </w:p>
    <w:p>
      <w:pPr>
        <w:ind w:left="4366"/>
        <w:spacing w:before="103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0B0B0B"/>
          <w:spacing w:val="-1"/>
        </w:rPr>
        <w:t>深圳证券交易所深港通业务实施办法</w:t>
      </w:r>
    </w:p>
    <w:p>
      <w:pPr>
        <w:spacing w:line="183" w:lineRule="auto"/>
        <w:sectPr>
          <w:headerReference w:type="default" r:id="rId2"/>
          <w:pgSz w:w="11910" w:h="16840"/>
          <w:pgMar w:top="1" w:right="134" w:bottom="0" w:left="0" w:header="0" w:footer="0" w:gutter="0"/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rPr>
          <w:rFonts w:ascii="Microsoft YaHei" w:hAnsi="Microsoft YaHei" w:eastAsia="Microsoft YaHei" w:cs="Microsoft YaHei"/>
          <w:sz w:val="43"/>
          <w:szCs w:val="43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803275</wp:posOffset>
            </wp:positionH>
            <wp:positionV relativeFrom="paragraph">
              <wp:posOffset>580047</wp:posOffset>
            </wp:positionV>
            <wp:extent cx="6674484" cy="34493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74484" cy="344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43"/>
          <w:szCs w:val="43"/>
          <w:position w:val="-39"/>
        </w:rPr>
        <w:drawing>
          <wp:inline distT="0" distB="0" distL="0" distR="0">
            <wp:extent cx="803148" cy="623964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3148" cy="623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hAnsi="Microsoft YaHei" w:eastAsia="Microsoft YaHei" w:cs="Microsoft YaHei"/>
          <w:sz w:val="43"/>
          <w:szCs w:val="43"/>
          <w:spacing w:val="15"/>
        </w:rPr>
        <w:t xml:space="preserve">   </w:t>
      </w:r>
      <w:r>
        <w:rPr>
          <w:rFonts w:ascii="Microsoft YaHei" w:hAnsi="Microsoft YaHei" w:eastAsia="Microsoft YaHei" w:cs="Microsoft YaHei"/>
          <w:sz w:val="43"/>
          <w:szCs w:val="43"/>
          <w:spacing w:val="8"/>
        </w:rPr>
        <w:t>法规速递</w:t>
      </w:r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ind w:left="1233"/>
        <w:spacing w:before="120" w:line="226" w:lineRule="auto"/>
        <w:outlineLvl w:val="0"/>
        <w:rPr>
          <w:rFonts w:ascii="Microsoft YaHei" w:hAnsi="Microsoft YaHei" w:eastAsia="Microsoft YaHei" w:cs="Microsoft YaHei"/>
          <w:sz w:val="28"/>
          <w:szCs w:val="28"/>
        </w:rPr>
      </w:pPr>
      <w:r>
        <w:rPr>
          <w:rFonts w:ascii="Microsoft YaHei" w:hAnsi="Microsoft YaHei" w:eastAsia="Microsoft YaHei" w:cs="Microsoft YaHei"/>
          <w:sz w:val="28"/>
          <w:szCs w:val="28"/>
          <w:b/>
          <w:bCs/>
          <w:color w:val="0B0B0B"/>
          <w:spacing w:val="-4"/>
        </w:rPr>
        <w:t>2、上海证券交易所沪港通业务实施办法 （2024年修订）</w:t>
      </w:r>
    </w:p>
    <w:p>
      <w:pPr>
        <w:pStyle w:val="BodyText"/>
        <w:spacing w:line="386" w:lineRule="auto"/>
        <w:rPr/>
      </w:pPr>
      <w:r/>
    </w:p>
    <w:p>
      <w:pPr>
        <w:ind w:left="663" w:right="400" w:firstLine="484"/>
        <w:spacing w:before="103" w:line="32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3"/>
        </w:rPr>
        <w:t>为了进一步扩大沪港通ETF范围， 持续优化完善互联互通机制，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4"/>
        </w:rPr>
        <w:t>上海证券交易所修订形成了《上海</w:t>
      </w:r>
      <w:r>
        <w:rPr>
          <w:rFonts w:ascii="Microsoft YaHei" w:hAnsi="Microsoft YaHei" w:eastAsia="Microsoft YaHei" w:cs="Microsoft YaHei"/>
          <w:sz w:val="24"/>
          <w:szCs w:val="24"/>
          <w:color w:val="0B0B0B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5"/>
        </w:rPr>
        <w:t>证券交易所沪港通业务实施办法 （2024年修订） 》 （以下简称《实施办法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6"/>
        </w:rPr>
        <w:t>》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30"/>
        </w:rPr>
        <w:t>），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8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6"/>
        </w:rPr>
        <w:t>已经中国证监会批</w:t>
      </w:r>
    </w:p>
    <w:p>
      <w:pPr>
        <w:ind w:left="663" w:right="407" w:firstLine="1"/>
        <w:spacing w:before="34" w:line="32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3"/>
        </w:rPr>
        <w:t>准， 现予以发布， 并自发布之日2024年6月14日起施行。上海证券交易所于2023年3月3日发布的《上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7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7"/>
        </w:rPr>
        <w:t>海证券交易所沪港通业务实施办法 （2023年修订） 》 （上证发〔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33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7"/>
        </w:rPr>
        <w:t>20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8"/>
        </w:rPr>
        <w:t>23〕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50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8"/>
        </w:rPr>
        <w:t>53号） 同时废止。</w:t>
      </w:r>
    </w:p>
    <w:p>
      <w:pPr>
        <w:pStyle w:val="BodyText"/>
        <w:spacing w:line="291" w:lineRule="auto"/>
        <w:rPr/>
      </w:pPr>
      <w:r/>
    </w:p>
    <w:p>
      <w:pPr>
        <w:pStyle w:val="BodyText"/>
        <w:spacing w:line="291" w:lineRule="auto"/>
        <w:rPr/>
      </w:pPr>
      <w:r/>
    </w:p>
    <w:p>
      <w:pPr>
        <w:pStyle w:val="BodyText"/>
        <w:spacing w:line="291" w:lineRule="auto"/>
        <w:rPr/>
      </w:pPr>
      <w:r/>
    </w:p>
    <w:p>
      <w:pPr>
        <w:pStyle w:val="BodyText"/>
        <w:spacing w:line="292" w:lineRule="auto"/>
        <w:rPr/>
      </w:pPr>
      <w:r/>
    </w:p>
    <w:p>
      <w:pPr>
        <w:ind w:firstLine="5078"/>
        <w:spacing w:line="2268" w:lineRule="exact"/>
        <w:rPr/>
      </w:pPr>
      <w:r>
        <w:rPr>
          <w:position w:val="-45"/>
        </w:rPr>
        <w:drawing>
          <wp:inline distT="0" distB="0" distL="0" distR="0">
            <wp:extent cx="1501139" cy="1440180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01139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86" w:lineRule="auto"/>
        <w:rPr/>
      </w:pPr>
      <w:r/>
    </w:p>
    <w:p>
      <w:pPr>
        <w:pStyle w:val="BodyText"/>
        <w:spacing w:line="287" w:lineRule="auto"/>
        <w:rPr/>
      </w:pPr>
      <w:r/>
    </w:p>
    <w:p>
      <w:pPr>
        <w:pStyle w:val="BodyText"/>
        <w:spacing w:line="287" w:lineRule="auto"/>
        <w:rPr/>
      </w:pPr>
      <w:r/>
    </w:p>
    <w:p>
      <w:pPr>
        <w:ind w:left="4369"/>
        <w:spacing w:before="102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0B0B0B"/>
          <w:spacing w:val="-1"/>
        </w:rPr>
        <w:t>上海证券交易所沪港通业务实施办法</w:t>
      </w:r>
    </w:p>
    <w:p>
      <w:pPr>
        <w:spacing w:line="183" w:lineRule="auto"/>
        <w:sectPr>
          <w:pgSz w:w="11910" w:h="16840"/>
          <w:pgMar w:top="1" w:right="134" w:bottom="0" w:left="0" w:header="0" w:footer="0" w:gutter="0"/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ind w:firstLine="26"/>
        <w:spacing w:line="1137" w:lineRule="exact"/>
        <w:rPr/>
      </w:pPr>
      <w:r>
        <w:rPr>
          <w:position w:val="-22"/>
        </w:rPr>
        <w:pict>
          <v:group id="_x0000_s2" style="mso-position-vertical-relative:line;mso-position-horizontal-relative:char;width:67.85pt;height:56.9pt;" filled="false" stroked="false" coordsize="1356,1138" coordorigin="0,0">
            <v:shape id="_x0000_s4" style="position:absolute;left:0;top:0;width:1356;height:1138;" fillcolor="#A61C1F" filled="true" stroked="false" coordsize="1356,1138" coordorigin="0,0" path="m,l1356,0l1356,1137l0,1137l0,0xe"/>
            <v:shape id="_x0000_s6" style="position:absolute;left:236;top:112;width:819;height:913;" fillcolor="#FFFFFF" filled="true" stroked="false" coordsize="819,913" coordorigin="0,0" path="m595,777l223,777l213,770l213,730l223,725l595,725l605,730l605,770l595,777xm582,708l237,708l225,699l225,688l213,635l181,584l136,533l88,480l44,424l12,362l0,298l0,290l5,238l22,188l50,144l84,105l127,73l176,47l231,25l287,10l347,3l409,0l470,3l530,10l587,25l641,47l690,73l733,105l736,109l366,109l359,117l359,125l355,149l353,152l233,152l201,175l189,185l177,195l172,200l172,209l177,215l207,243l209,245l209,249l202,259l196,269l191,280l185,290l185,292l183,292l181,294l171,294l124,298l116,303l116,370l124,375l136,377l181,382l183,382l185,383l185,385l191,395l196,405l202,415l209,425l209,429l201,438l192,445l177,460l172,465l172,474l177,480l225,517l233,522l353,522l356,539l359,549l359,559l366,565l648,565l637,578l605,630l592,688l592,699l582,708xm525,183l523,182l497,172l483,168l469,165l467,165l467,163l465,160l465,149l461,137l461,125l459,117l451,109l736,109l768,144l773,152l586,152l575,154l566,158l530,182l528,182l525,183xm293,183l291,182l289,182l281,175l271,170l261,164l251,158l243,154l233,152l353,152l352,160l352,163l350,165l349,165l335,168l321,172l307,177l294,182l293,183xm686,522l586,522l647,474l645,465l640,460l625,445l617,438l608,429l608,428l610,425l616,415l621,405l627,395l632,385l632,383l635,382l638,382l683,377l693,375l703,370l703,303l693,298l683,297l648,294l638,294l635,292l632,292l632,290l627,280l621,269l616,259l610,249l608,248l608,245l610,243l640,215l645,209l647,200l640,195l628,185l616,175l592,158l586,152l773,152l795,188l812,238l818,290l818,298l805,362l773,422l729,475l686,522xm410,448l355,439l308,415l278,380l267,337l278,295l308,260l355,235l410,228l465,235l509,260l539,295l550,337l539,380l509,415l465,439l410,448xm353,522l243,522l251,515l261,510l271,505l281,500l289,494l291,492l294,492l307,498l321,503l335,505l349,509l352,512l352,515l353,522xm648,565l451,565l459,559l461,549l461,539l465,525l465,514l467,512l467,510l469,509l497,503l510,498l523,492l528,492l530,494l539,500l548,505l557,510l566,515l575,522l686,522l681,527l648,565xm560,912l257,912l247,905l247,865l257,859l560,859l570,865l570,905l560,912xm582,845l235,845l227,839l227,797l235,790l582,790l592,797l592,839l582,845e"/>
          </v:group>
        </w:pic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02" w:line="186" w:lineRule="auto"/>
        <w:rPr>
          <w:rFonts w:ascii="Microsoft YaHei" w:hAnsi="Microsoft YaHei" w:eastAsia="Microsoft YaHei" w:cs="Microsoft YaHei"/>
          <w:sz w:val="43"/>
          <w:szCs w:val="43"/>
        </w:rPr>
      </w:pPr>
      <w:r>
        <w:rPr>
          <w:rFonts w:ascii="Microsoft YaHei" w:hAnsi="Microsoft YaHei" w:eastAsia="Microsoft YaHei" w:cs="Microsoft YaHei"/>
          <w:sz w:val="43"/>
          <w:szCs w:val="43"/>
          <w:spacing w:val="7"/>
        </w:rPr>
        <w:t>监管动态</w:t>
      </w:r>
    </w:p>
    <w:p>
      <w:pPr>
        <w:spacing w:line="186" w:lineRule="auto"/>
        <w:sectPr>
          <w:pgSz w:w="11910" w:h="16840"/>
          <w:pgMar w:top="343" w:right="48" w:bottom="0" w:left="0" w:header="0" w:footer="0" w:gutter="0"/>
          <w:cols w:equalWidth="0" w:num="2">
            <w:col w:w="1580" w:space="100"/>
            <w:col w:w="10183" w:space="0"/>
          </w:cols>
        </w:sectPr>
        <w:rPr>
          <w:rFonts w:ascii="Microsoft YaHei" w:hAnsi="Microsoft YaHei" w:eastAsia="Microsoft YaHei" w:cs="Microsoft YaHei"/>
          <w:sz w:val="43"/>
          <w:szCs w:val="43"/>
        </w:rPr>
      </w:pPr>
    </w:p>
    <w:p>
      <w:pPr>
        <w:spacing w:before="158" w:line="924" w:lineRule="exact"/>
        <w:rPr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857250</wp:posOffset>
            </wp:positionH>
            <wp:positionV relativeFrom="paragraph">
              <wp:posOffset>-34404</wp:posOffset>
            </wp:positionV>
            <wp:extent cx="6675119" cy="32245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75119" cy="32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8"/>
        </w:rPr>
        <w:pict>
          <v:group id="_x0000_s8" style="mso-position-vertical-relative:line;mso-position-horizontal-relative:char;width:134.3pt;height:46.25pt;" filled="false" stroked="false" coordsize="2686,925" coordorigin="0,0">
            <v:shape id="_x0000_s10" style="position:absolute;left:0;top:0;width:2686;height:925;" filled="false" stroked="false" type="#_x0000_t75">
              <v:imagedata o:title="" r:id="rId10"/>
            </v:shape>
            <v:shape id="_x0000_s12" style="position:absolute;left:-20;top:-20;width:2726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483"/>
                      <w:spacing w:before="246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b/>
                        <w:bCs/>
                        <w:color w:val="FFFFFF"/>
                        <w:spacing w:val="-2"/>
                      </w:rPr>
                      <w:t>市场监管概览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75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ind w:left="5942" w:right="611" w:firstLine="491"/>
        <w:spacing w:before="103" w:line="335" w:lineRule="auto"/>
        <w:jc w:val="both"/>
        <w:rPr>
          <w:rFonts w:ascii="Microsoft YaHei" w:hAnsi="Microsoft YaHei" w:eastAsia="Microsoft YaHei" w:cs="Microsoft YaHei"/>
          <w:sz w:val="24"/>
          <w:szCs w:val="24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548640</wp:posOffset>
            </wp:positionH>
            <wp:positionV relativeFrom="paragraph">
              <wp:posOffset>73262</wp:posOffset>
            </wp:positionV>
            <wp:extent cx="3098292" cy="1882140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98292" cy="1882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2024年6月10日-6月16日， 证监</w:t>
      </w:r>
      <w:r>
        <w:rPr>
          <w:rFonts w:ascii="Microsoft YaHei" w:hAnsi="Microsoft YaHei" w:eastAsia="Microsoft YaHei" w:cs="Microsoft YaHei"/>
          <w:sz w:val="24"/>
          <w:szCs w:val="24"/>
          <w:spacing w:val="-2"/>
        </w:rPr>
        <w:t>会作出4份监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3"/>
        </w:rPr>
        <w:t>管文书； 证监局作出3份监管文书； 上交所作出15</w:t>
      </w:r>
      <w:r>
        <w:rPr>
          <w:rFonts w:ascii="Microsoft YaHei" w:hAnsi="Microsoft YaHei" w:eastAsia="Microsoft YaHei" w:cs="Microsoft YaHei"/>
          <w:sz w:val="24"/>
          <w:szCs w:val="24"/>
          <w:spacing w:val="17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4"/>
        </w:rPr>
        <w:t>份监管文书； 深交所作出6份监管文书。</w:t>
      </w:r>
    </w:p>
    <w:p>
      <w:pPr>
        <w:ind w:left="5920" w:right="519" w:firstLine="541"/>
        <w:spacing w:before="8" w:line="335" w:lineRule="auto"/>
        <w:jc w:val="both"/>
        <w:rPr>
          <w:rFonts w:ascii="Microsoft YaHei" w:hAnsi="Microsoft YaHei" w:eastAsia="Microsoft YaHei" w:cs="Microsoft YaHei"/>
          <w:sz w:val="24"/>
          <w:szCs w:val="24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1024331</wp:posOffset>
            </wp:positionV>
            <wp:extent cx="3482340" cy="2159507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82340" cy="21595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24"/>
          <w:szCs w:val="24"/>
          <w:spacing w:val="-2"/>
        </w:rPr>
        <w:t>上周， 上交所公司监管部门作出12份监管警示</w:t>
      </w:r>
      <w:r>
        <w:rPr>
          <w:rFonts w:ascii="Microsoft YaHei" w:hAnsi="Microsoft YaHei" w:eastAsia="Microsoft YaHei" w:cs="Microsoft YaHei"/>
          <w:sz w:val="24"/>
          <w:szCs w:val="24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2"/>
        </w:rPr>
        <w:t>函， 对3宗行为予以纪律处分。</w:t>
      </w:r>
      <w:r>
        <w:rPr>
          <w:rFonts w:ascii="Microsoft YaHei" w:hAnsi="Microsoft YaHei" w:eastAsia="Microsoft YaHei" w:cs="Microsoft YaHei"/>
          <w:sz w:val="24"/>
          <w:szCs w:val="24"/>
          <w:spacing w:val="-23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2"/>
        </w:rPr>
        <w:t>同时， 加大信息披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3"/>
        </w:rPr>
        <w:t>露和股价异常的联动监管， 针对公司披露敏感信息</w:t>
      </w:r>
      <w:r>
        <w:rPr>
          <w:rFonts w:ascii="Microsoft YaHei" w:hAnsi="Microsoft YaHei" w:eastAsia="Microsoft YaHei" w:cs="Microsoft YaHei"/>
          <w:sz w:val="24"/>
          <w:szCs w:val="24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3"/>
        </w:rPr>
        <w:t>或股价发生明显异常的， 提请启动内幕交易、</w:t>
      </w:r>
      <w:r>
        <w:rPr>
          <w:rFonts w:ascii="Microsoft YaHei" w:hAnsi="Microsoft YaHei" w:eastAsia="Microsoft YaHei" w:cs="Microsoft YaHei"/>
          <w:sz w:val="24"/>
          <w:szCs w:val="24"/>
          <w:spacing w:val="2"/>
        </w:rPr>
        <w:t>异常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交易核查5单。</w:t>
      </w:r>
    </w:p>
    <w:p>
      <w:pPr>
        <w:ind w:left="5922" w:right="613" w:firstLine="482"/>
        <w:spacing w:before="1" w:line="204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上周， 深交所发出4份监管函， 对2宗行</w:t>
      </w:r>
      <w:r>
        <w:rPr>
          <w:rFonts w:ascii="Microsoft YaHei" w:hAnsi="Microsoft YaHei" w:eastAsia="Microsoft YaHei" w:cs="Microsoft YaHei"/>
          <w:sz w:val="24"/>
          <w:szCs w:val="24"/>
          <w:spacing w:val="-7"/>
        </w:rPr>
        <w:t>为予以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纪予以纪律处分； 共发出关注函19份。</w:t>
      </w:r>
    </w:p>
    <w:p>
      <w:pPr>
        <w:spacing w:line="204" w:lineRule="auto"/>
        <w:sectPr>
          <w:type w:val="continuous"/>
          <w:pgSz w:w="11910" w:h="16840"/>
          <w:pgMar w:top="343" w:right="48" w:bottom="0" w:left="0" w:header="0" w:footer="0" w:gutter="0"/>
          <w:cols w:equalWidth="0" w:num="1">
            <w:col w:w="11862" w:space="0"/>
          </w:cols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spacing w:line="924" w:lineRule="exact"/>
        <w:rPr/>
      </w:pPr>
      <w:r>
        <w:rPr>
          <w:position w:val="-18"/>
        </w:rPr>
        <w:pict>
          <v:group id="_x0000_s14" style="mso-position-vertical-relative:line;mso-position-horizontal-relative:char;width:188.3pt;height:46.25pt;" filled="false" stroked="false" coordsize="3766,925" coordorigin="0,0">
            <v:shape id="_x0000_s16" style="position:absolute;left:0;top:0;width:3766;height:925;" filled="false" stroked="false" type="#_x0000_t75">
              <v:imagedata o:title="" r:id="rId13"/>
            </v:shape>
            <v:shape id="_x0000_s18" style="position:absolute;left:-20;top:-20;width:3806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87"/>
                      <w:spacing w:before="241" w:line="183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b/>
                        <w:bCs/>
                        <w:color w:val="FFFFFF"/>
                        <w:spacing w:val="-1"/>
                      </w:rPr>
                      <w:t>证监会证监局监管动态</w:t>
                    </w:r>
                  </w:p>
                </w:txbxContent>
              </v:textbox>
            </v:shape>
          </v:group>
        </w:pict>
      </w:r>
    </w:p>
    <w:p>
      <w:pPr>
        <w:ind w:left="443" w:right="120" w:firstLine="490"/>
        <w:spacing w:before="175" w:line="358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4"/>
        </w:rPr>
        <w:t>2024年6月10日-6月16日， 证监会对3个对象进行立案调查， 发出1份结案通知书； 证监局作</w:t>
      </w: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出3份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行政监管措施决定书。</w:t>
      </w:r>
    </w:p>
    <w:p>
      <w:pPr>
        <w:ind w:left="956"/>
        <w:spacing w:before="32" w:line="225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1"/>
        </w:rPr>
        <w:t>（1） 行政监管措施</w:t>
      </w:r>
    </w:p>
    <w:p>
      <w:pPr>
        <w:spacing w:before="17"/>
        <w:rPr/>
      </w:pPr>
      <w:r/>
    </w:p>
    <w:p>
      <w:pPr>
        <w:spacing w:before="16"/>
        <w:rPr/>
      </w:pPr>
      <w:r/>
    </w:p>
    <w:tbl>
      <w:tblPr>
        <w:tblStyle w:val="TableNormal"/>
        <w:tblW w:w="10880" w:type="dxa"/>
        <w:tblInd w:w="481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2802"/>
        <w:gridCol w:w="1571"/>
        <w:gridCol w:w="6507"/>
      </w:tblGrid>
      <w:tr>
        <w:trPr>
          <w:trHeight w:val="387" w:hRule="atLeast"/>
        </w:trPr>
        <w:tc>
          <w:tcPr>
            <w:shd w:val="clear" w:fill="4F81BD"/>
            <w:tcW w:w="2802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976"/>
              <w:spacing w:before="109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571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358"/>
              <w:spacing w:before="109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6507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825"/>
              <w:spacing w:before="109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违规行为</w:t>
            </w:r>
          </w:p>
        </w:tc>
      </w:tr>
      <w:tr>
        <w:trPr>
          <w:trHeight w:val="1161" w:hRule="atLeast"/>
        </w:trPr>
        <w:tc>
          <w:tcPr>
            <w:shd w:val="clear" w:fill="B8CCE4"/>
            <w:tcW w:w="2802" w:type="dxa"/>
            <w:vAlign w:val="top"/>
            <w:tcBorders>
              <w:top w:val="single" w:color="FFFFFF" w:sz="2" w:space="0"/>
            </w:tcBorders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31"/>
              <w:spacing w:before="86" w:line="178" w:lineRule="auto"/>
              <w:rPr/>
            </w:pPr>
            <w:r>
              <w:rPr>
                <w:spacing w:val="3"/>
              </w:rPr>
              <w:t>000885</w:t>
            </w:r>
          </w:p>
        </w:tc>
        <w:tc>
          <w:tcPr>
            <w:shd w:val="clear" w:fill="B8CCE4"/>
            <w:tcW w:w="1571" w:type="dxa"/>
            <w:vAlign w:val="top"/>
            <w:tcBorders>
              <w:top w:val="single" w:color="FFFFFF" w:sz="2" w:space="0"/>
            </w:tcBorders>
          </w:tcPr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5"/>
              <w:spacing w:before="85" w:line="189" w:lineRule="auto"/>
              <w:rPr/>
            </w:pPr>
            <w:r>
              <w:rPr>
                <w:spacing w:val="9"/>
              </w:rPr>
              <w:t>城发环境</w:t>
            </w:r>
          </w:p>
        </w:tc>
        <w:tc>
          <w:tcPr>
            <w:shd w:val="clear" w:fill="B8CCE4"/>
            <w:tcW w:w="6507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101" w:right="304" w:hanging="1"/>
              <w:spacing w:before="158" w:line="347" w:lineRule="auto"/>
              <w:rPr/>
            </w:pPr>
            <w:r>
              <w:rPr>
                <w:spacing w:val="7"/>
              </w:rPr>
              <w:t>城发环境存在为关联方代垫工资、社保等情形， 构成关联方</w:t>
            </w:r>
            <w:r>
              <w:rPr>
                <w:b/>
                <w:bCs/>
                <w:spacing w:val="7"/>
              </w:rPr>
              <w:t>非经营</w:t>
            </w:r>
            <w:r>
              <w:rPr>
                <w:b/>
                <w:bCs/>
                <w:spacing w:val="17"/>
              </w:rPr>
              <w:t xml:space="preserve"> </w:t>
            </w:r>
            <w:r>
              <w:rPr>
                <w:b/>
                <w:bCs/>
                <w:spacing w:val="8"/>
              </w:rPr>
              <w:t>性占用公司资金。</w:t>
            </w:r>
          </w:p>
        </w:tc>
      </w:tr>
      <w:tr>
        <w:trPr>
          <w:trHeight w:val="1084" w:hRule="atLeast"/>
        </w:trPr>
        <w:tc>
          <w:tcPr>
            <w:tcW w:w="10880" w:type="dxa"/>
            <w:vAlign w:val="top"/>
            <w:gridSpan w:val="3"/>
          </w:tcPr>
          <w:p>
            <w:pPr>
              <w:pStyle w:val="TableText"/>
              <w:ind w:left="121" w:right="103" w:firstLine="1"/>
              <w:spacing w:before="41" w:line="358" w:lineRule="auto"/>
              <w:rPr/>
            </w:pPr>
            <w:r>
              <w:rPr>
                <w:b/>
                <w:bCs/>
                <w:spacing w:val="12"/>
              </w:rPr>
              <w:t>【行政监管措施】</w:t>
            </w:r>
            <w:r>
              <w:rPr>
                <w:b/>
                <w:bCs/>
                <w:spacing w:val="-27"/>
              </w:rPr>
              <w:t xml:space="preserve"> </w:t>
            </w:r>
            <w:r>
              <w:rPr>
                <w:spacing w:val="12"/>
              </w:rPr>
              <w:t>中国证券监督管理委员会河南监管局决定对城发环境股</w:t>
            </w:r>
            <w:r>
              <w:rPr>
                <w:spacing w:val="11"/>
              </w:rPr>
              <w:t>份有限公司及高管苏某久、</w:t>
            </w:r>
            <w:r>
              <w:rPr>
                <w:spacing w:val="-37"/>
              </w:rPr>
              <w:t xml:space="preserve"> </w:t>
            </w:r>
            <w:r>
              <w:rPr>
                <w:spacing w:val="11"/>
              </w:rPr>
              <w:t>时任董秘黄某</w:t>
            </w:r>
            <w:r>
              <w:rPr/>
              <w:t xml:space="preserve"> </w:t>
            </w:r>
            <w:r>
              <w:rPr>
                <w:spacing w:val="8"/>
              </w:rPr>
              <w:t>民、</w:t>
            </w:r>
            <w:r>
              <w:rPr>
                <w:spacing w:val="-37"/>
              </w:rPr>
              <w:t xml:space="preserve"> </w:t>
            </w:r>
            <w:r>
              <w:rPr>
                <w:spacing w:val="8"/>
              </w:rPr>
              <w:t>时任董秘易某、董事会秘书李某飞采取</w:t>
            </w:r>
            <w:r>
              <w:rPr>
                <w:spacing w:val="7"/>
              </w:rPr>
              <w:t>出具警示函的行政监管措施， 并记入证券期货市场诚信档案。</w:t>
            </w:r>
          </w:p>
        </w:tc>
      </w:tr>
      <w:tr>
        <w:trPr>
          <w:trHeight w:val="2703" w:hRule="atLeast"/>
        </w:trPr>
        <w:tc>
          <w:tcPr>
            <w:shd w:val="clear" w:fill="B8CCE4"/>
            <w:tcW w:w="2802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34"/>
              <w:spacing w:before="85" w:line="178" w:lineRule="auto"/>
              <w:rPr/>
            </w:pPr>
            <w:r>
              <w:rPr>
                <w:spacing w:val="3"/>
              </w:rPr>
              <w:t>600238</w:t>
            </w:r>
          </w:p>
        </w:tc>
        <w:tc>
          <w:tcPr>
            <w:shd w:val="clear" w:fill="B8CCE4"/>
            <w:tcW w:w="1571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7"/>
              <w:spacing w:before="86" w:line="189" w:lineRule="auto"/>
              <w:rPr/>
            </w:pPr>
            <w:r>
              <w:rPr>
                <w:spacing w:val="8"/>
              </w:rPr>
              <w:t>海南椰岛</w:t>
            </w:r>
          </w:p>
        </w:tc>
        <w:tc>
          <w:tcPr>
            <w:shd w:val="clear" w:fill="B8CCE4"/>
            <w:tcW w:w="6507" w:type="dxa"/>
            <w:vAlign w:val="top"/>
          </w:tcPr>
          <w:p>
            <w:pPr>
              <w:pStyle w:val="TableText"/>
              <w:ind w:left="101" w:right="103"/>
              <w:spacing w:before="47" w:line="370" w:lineRule="auto"/>
              <w:jc w:val="both"/>
              <w:rPr/>
            </w:pPr>
            <w:r>
              <w:rPr>
                <w:spacing w:val="14"/>
              </w:rPr>
              <w:t>海南椰岛</w:t>
            </w:r>
            <w:r>
              <w:rPr>
                <w:b/>
                <w:bCs/>
                <w:spacing w:val="14"/>
              </w:rPr>
              <w:t>员工职务侵占</w:t>
            </w:r>
            <w:r>
              <w:rPr>
                <w:spacing w:val="14"/>
              </w:rPr>
              <w:t>事项， 预估损失已达到《中华人民共和国证</w:t>
            </w:r>
            <w:r>
              <w:rPr>
                <w:spacing w:val="7"/>
              </w:rPr>
              <w:t xml:space="preserve"> </w:t>
            </w:r>
            <w:r>
              <w:rPr>
                <w:spacing w:val="22"/>
              </w:rPr>
              <w:t>券法》</w:t>
            </w:r>
            <w:r>
              <w:rPr>
                <w:spacing w:val="-11"/>
              </w:rPr>
              <w:t xml:space="preserve"> </w:t>
            </w:r>
            <w:r>
              <w:rPr>
                <w:spacing w:val="22"/>
              </w:rPr>
              <w:t>第八十条第二款第五项及</w:t>
            </w:r>
            <w:r>
              <w:rPr>
                <w:spacing w:val="-39"/>
              </w:rPr>
              <w:t xml:space="preserve"> </w:t>
            </w:r>
            <w:r>
              <w:rPr>
                <w:spacing w:val="22"/>
              </w:rPr>
              <w:t>《上市公司信息披露管理办法》</w:t>
            </w:r>
            <w:r>
              <w:rPr/>
              <w:t xml:space="preserve"> </w:t>
            </w:r>
            <w:r>
              <w:rPr>
                <w:spacing w:val="15"/>
              </w:rPr>
              <w:t>（证监会令第182号） 第二十二条第二款第一项规定的重大事件标</w:t>
            </w:r>
            <w:r>
              <w:rPr>
                <w:spacing w:val="10"/>
              </w:rPr>
              <w:t xml:space="preserve"> </w:t>
            </w:r>
            <w:r>
              <w:rPr>
                <w:spacing w:val="8"/>
              </w:rPr>
              <w:t>准， 公司应当及时披露， 但直至2024年4月26日， 公司才发布《关 </w:t>
            </w:r>
            <w:r>
              <w:rPr>
                <w:spacing w:val="7"/>
              </w:rPr>
              <w:t>于子公司员工涉嫌职务侵占资金的公告》， 信息披露不及</w:t>
            </w:r>
            <w:r>
              <w:rPr>
                <w:spacing w:val="6"/>
              </w:rPr>
              <w:t>时。</w:t>
            </w:r>
          </w:p>
        </w:tc>
      </w:tr>
      <w:tr>
        <w:trPr>
          <w:trHeight w:val="1084" w:hRule="atLeast"/>
        </w:trPr>
        <w:tc>
          <w:tcPr>
            <w:tcW w:w="10880" w:type="dxa"/>
            <w:vAlign w:val="top"/>
            <w:gridSpan w:val="3"/>
          </w:tcPr>
          <w:p>
            <w:pPr>
              <w:pStyle w:val="TableText"/>
              <w:ind w:left="107" w:right="263" w:firstLine="15"/>
              <w:spacing w:before="43" w:line="359" w:lineRule="auto"/>
              <w:rPr/>
            </w:pPr>
            <w:r>
              <w:rPr>
                <w:b/>
                <w:bCs/>
                <w:spacing w:val="6"/>
              </w:rPr>
              <w:t>【行政监管措施】</w:t>
            </w:r>
            <w:r>
              <w:rPr>
                <w:b/>
                <w:bCs/>
                <w:spacing w:val="-14"/>
              </w:rPr>
              <w:t xml:space="preserve"> </w:t>
            </w:r>
            <w:r>
              <w:rPr>
                <w:spacing w:val="6"/>
              </w:rPr>
              <w:t>中国证券监督管理委员会海南监管局决定对海南椰岛 （集团） 股份有限公司及董事长段某奇、总</w:t>
            </w:r>
            <w:r>
              <w:rPr/>
              <w:t xml:space="preserve"> </w:t>
            </w:r>
            <w:r>
              <w:rPr>
                <w:spacing w:val="8"/>
              </w:rPr>
              <w:t>经理,时任财务总监马某、董事会秘书蔡某采取出具警示函的行政监管措施， 并记入资本市场诚信档案数据库。</w:t>
            </w:r>
          </w:p>
        </w:tc>
      </w:tr>
      <w:tr>
        <w:trPr>
          <w:trHeight w:val="2702" w:hRule="atLeast"/>
        </w:trPr>
        <w:tc>
          <w:tcPr>
            <w:shd w:val="clear" w:fill="B8CCE4"/>
            <w:tcW w:w="2802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32"/>
              <w:spacing w:before="86" w:line="178" w:lineRule="auto"/>
              <w:rPr/>
            </w:pPr>
            <w:r>
              <w:rPr>
                <w:spacing w:val="3"/>
              </w:rPr>
              <w:t>839725</w:t>
            </w:r>
          </w:p>
        </w:tc>
        <w:tc>
          <w:tcPr>
            <w:shd w:val="clear" w:fill="B8CCE4"/>
            <w:tcW w:w="1571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8"/>
              <w:spacing w:before="86" w:line="189" w:lineRule="auto"/>
              <w:rPr/>
            </w:pPr>
            <w:r>
              <w:rPr>
                <w:spacing w:val="8"/>
              </w:rPr>
              <w:t>惠丰钻石</w:t>
            </w:r>
          </w:p>
        </w:tc>
        <w:tc>
          <w:tcPr>
            <w:shd w:val="clear" w:fill="B8CCE4"/>
            <w:tcW w:w="6507" w:type="dxa"/>
            <w:vAlign w:val="top"/>
          </w:tcPr>
          <w:p>
            <w:pPr>
              <w:pStyle w:val="TableText"/>
              <w:ind w:left="100" w:right="103" w:firstLine="1"/>
              <w:spacing w:before="89" w:line="364" w:lineRule="auto"/>
              <w:jc w:val="both"/>
              <w:rPr/>
            </w:pPr>
            <w:r>
              <w:rPr>
                <w:spacing w:val="14"/>
              </w:rPr>
              <w:t>董事长委托董事会秘书主持会议， 股东大会决议公告中会议</w:t>
            </w:r>
            <w:r>
              <w:rPr>
                <w:b/>
                <w:bCs/>
                <w:spacing w:val="14"/>
              </w:rPr>
              <w:t>主持人</w:t>
            </w:r>
            <w:r>
              <w:rPr>
                <w:b/>
                <w:bCs/>
                <w:spacing w:val="6"/>
              </w:rPr>
              <w:t xml:space="preserve"> </w:t>
            </w:r>
            <w:r>
              <w:rPr>
                <w:b/>
                <w:bCs/>
                <w:spacing w:val="14"/>
              </w:rPr>
              <w:t>与实际情况</w:t>
            </w:r>
            <w:r>
              <w:rPr>
                <w:spacing w:val="14"/>
              </w:rPr>
              <w:t>不符； </w:t>
            </w:r>
            <w:r>
              <w:rPr>
                <w:b/>
                <w:bCs/>
                <w:spacing w:val="14"/>
              </w:rPr>
              <w:t>表决前未宣布</w:t>
            </w:r>
            <w:r>
              <w:rPr>
                <w:spacing w:val="14"/>
              </w:rPr>
              <w:t>现场出席会议的股东和代理人人数</w:t>
            </w:r>
            <w:r>
              <w:rPr>
                <w:spacing w:val="7"/>
              </w:rPr>
              <w:t xml:space="preserve"> </w:t>
            </w:r>
            <w:r>
              <w:rPr>
                <w:spacing w:val="12"/>
              </w:rPr>
              <w:t>及所持有表决权的股份总数， </w:t>
            </w:r>
            <w:r>
              <w:rPr>
                <w:b/>
                <w:bCs/>
                <w:spacing w:val="12"/>
              </w:rPr>
              <w:t>未推举股东代表参加计票</w:t>
            </w:r>
            <w:r>
              <w:rPr>
                <w:b/>
                <w:bCs/>
                <w:spacing w:val="11"/>
              </w:rPr>
              <w:t>和监票</w:t>
            </w:r>
            <w:r>
              <w:rPr>
                <w:spacing w:val="11"/>
              </w:rPr>
              <w:t>； 会</w:t>
            </w:r>
            <w:r>
              <w:rPr/>
              <w:t xml:space="preserve"> </w:t>
            </w:r>
            <w:r>
              <w:rPr>
                <w:spacing w:val="21"/>
              </w:rPr>
              <w:t>议现场</w:t>
            </w:r>
            <w:r>
              <w:rPr>
                <w:b/>
                <w:bCs/>
                <w:spacing w:val="21"/>
              </w:rPr>
              <w:t>未宣读现场投票结果</w:t>
            </w:r>
            <w:r>
              <w:rPr>
                <w:spacing w:val="21"/>
              </w:rPr>
              <w:t>， </w:t>
            </w:r>
            <w:r>
              <w:rPr>
                <w:b/>
                <w:bCs/>
                <w:spacing w:val="21"/>
              </w:rPr>
              <w:t>也未宣布</w:t>
            </w:r>
            <w:r>
              <w:rPr>
                <w:spacing w:val="21"/>
              </w:rPr>
              <w:t>每一提案的表决情况和结</w:t>
            </w:r>
            <w:r>
              <w:rPr>
                <w:spacing w:val="16"/>
              </w:rPr>
              <w:t xml:space="preserve"> </w:t>
            </w:r>
            <w:r>
              <w:rPr>
                <w:spacing w:val="3"/>
              </w:rPr>
              <w:t>果。</w:t>
            </w:r>
          </w:p>
        </w:tc>
      </w:tr>
      <w:tr>
        <w:trPr>
          <w:trHeight w:val="1094" w:hRule="atLeast"/>
        </w:trPr>
        <w:tc>
          <w:tcPr>
            <w:tcW w:w="10880" w:type="dxa"/>
            <w:vAlign w:val="top"/>
            <w:gridSpan w:val="3"/>
          </w:tcPr>
          <w:p>
            <w:pPr>
              <w:pStyle w:val="TableText"/>
              <w:ind w:left="110" w:right="213" w:firstLine="13"/>
              <w:spacing w:before="52" w:line="358" w:lineRule="auto"/>
              <w:rPr/>
            </w:pPr>
            <w:r>
              <w:rPr>
                <w:b/>
                <w:bCs/>
                <w:spacing w:val="8"/>
              </w:rPr>
              <w:t>【行政监管措施】</w:t>
            </w:r>
            <w:r>
              <w:rPr>
                <w:b/>
                <w:bCs/>
                <w:spacing w:val="-29"/>
              </w:rPr>
              <w:t xml:space="preserve"> </w:t>
            </w:r>
            <w:r>
              <w:rPr>
                <w:spacing w:val="8"/>
              </w:rPr>
              <w:t>中国证券监督管理委员会河南监管局决</w:t>
            </w:r>
            <w:r>
              <w:rPr>
                <w:spacing w:val="7"/>
              </w:rPr>
              <w:t>定对公司实施责令改正监督管理措施， 并对董事长,总经理</w:t>
            </w:r>
            <w:r>
              <w:rPr/>
              <w:t xml:space="preserve"> </w:t>
            </w:r>
            <w:r>
              <w:rPr>
                <w:spacing w:val="8"/>
              </w:rPr>
              <w:t>王某福、董事会秘书万某实施出具警示函监督管理措施， 并记入证</w:t>
            </w:r>
            <w:r>
              <w:rPr>
                <w:spacing w:val="7"/>
              </w:rPr>
              <w:t>券期货市场诚信档案。</w:t>
            </w:r>
          </w:p>
        </w:tc>
      </w:tr>
    </w:tbl>
    <w:p>
      <w:pPr>
        <w:pStyle w:val="BodyText"/>
        <w:spacing w:line="305" w:lineRule="auto"/>
        <w:rPr/>
      </w:pPr>
      <w:r/>
    </w:p>
    <w:p>
      <w:pPr>
        <w:ind w:left="956"/>
        <w:spacing w:before="103" w:line="225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4"/>
        </w:rPr>
        <w:t>（2） 立案调查</w:t>
      </w:r>
    </w:p>
    <w:p>
      <w:pPr>
        <w:spacing w:before="33"/>
        <w:rPr/>
      </w:pPr>
      <w:r/>
    </w:p>
    <w:p>
      <w:pPr>
        <w:spacing w:before="32"/>
        <w:rPr/>
      </w:pPr>
      <w:r/>
    </w:p>
    <w:tbl>
      <w:tblPr>
        <w:tblStyle w:val="TableNormal"/>
        <w:tblW w:w="10911" w:type="dxa"/>
        <w:tblInd w:w="471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2806"/>
        <w:gridCol w:w="1572"/>
        <w:gridCol w:w="6533"/>
      </w:tblGrid>
      <w:tr>
        <w:trPr>
          <w:trHeight w:val="382" w:hRule="atLeast"/>
        </w:trPr>
        <w:tc>
          <w:tcPr>
            <w:shd w:val="clear" w:fill="4F81BD"/>
            <w:tcW w:w="2806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979"/>
              <w:spacing w:before="108" w:line="184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572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359"/>
              <w:spacing w:before="108" w:line="184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6533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840"/>
              <w:spacing w:before="108" w:line="184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违规行为</w:t>
            </w:r>
          </w:p>
        </w:tc>
      </w:tr>
      <w:tr>
        <w:trPr>
          <w:trHeight w:val="728" w:hRule="atLeast"/>
        </w:trPr>
        <w:tc>
          <w:tcPr>
            <w:tcW w:w="2806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1037"/>
              <w:spacing w:before="286" w:line="178" w:lineRule="auto"/>
              <w:rPr/>
            </w:pPr>
            <w:r>
              <w:rPr>
                <w:spacing w:val="3"/>
              </w:rPr>
              <w:t>600277</w:t>
            </w:r>
          </w:p>
        </w:tc>
        <w:tc>
          <w:tcPr>
            <w:tcW w:w="1572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457"/>
              <w:spacing w:before="273" w:line="188" w:lineRule="auto"/>
              <w:rPr/>
            </w:pPr>
            <w:r>
              <w:rPr/>
              <w:t>ST</w:t>
            </w:r>
            <w:r>
              <w:rPr>
                <w:spacing w:val="8"/>
              </w:rPr>
              <w:t>亿利</w:t>
            </w:r>
          </w:p>
        </w:tc>
        <w:tc>
          <w:tcPr>
            <w:tcW w:w="6533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115"/>
              <w:spacing w:before="53" w:line="233" w:lineRule="auto"/>
              <w:rPr/>
            </w:pPr>
            <w:r>
              <w:rPr>
                <w:spacing w:val="6"/>
              </w:rPr>
              <w:t>因公司涉嫌信息披露违法违规， 根据《中华人民共和国证券法》、</w:t>
            </w:r>
          </w:p>
          <w:p>
            <w:pPr>
              <w:pStyle w:val="TableText"/>
              <w:ind w:left="100"/>
              <w:spacing w:before="25" w:line="214" w:lineRule="auto"/>
              <w:rPr/>
            </w:pPr>
            <w:r>
              <w:rPr>
                <w:spacing w:val="7"/>
              </w:rPr>
              <w:t>《中华人民共和国行政处罚法》等法律法规， 中国证监会决定对公司</w:t>
            </w:r>
          </w:p>
        </w:tc>
      </w:tr>
    </w:tbl>
    <w:p>
      <w:pPr>
        <w:pStyle w:val="BodyText"/>
        <w:rPr/>
      </w:pPr>
      <w:r/>
    </w:p>
    <w:p>
      <w:pPr>
        <w:sectPr>
          <w:pgSz w:w="11910" w:h="16840"/>
          <w:pgMar w:top="400" w:right="519" w:bottom="0" w:left="0" w:header="0" w:footer="0" w:gutter="0"/>
        </w:sectPr>
        <w:rPr/>
      </w:pPr>
    </w:p>
    <w:tbl>
      <w:tblPr>
        <w:tblStyle w:val="TableNormal"/>
        <w:tblW w:w="10911" w:type="dxa"/>
        <w:tblInd w:w="130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2806"/>
        <w:gridCol w:w="1572"/>
        <w:gridCol w:w="6533"/>
      </w:tblGrid>
      <w:tr>
        <w:trPr>
          <w:trHeight w:val="372" w:hRule="atLeast"/>
        </w:trPr>
        <w:tc>
          <w:tcPr>
            <w:tcW w:w="2806" w:type="dxa"/>
            <w:vAlign w:val="top"/>
            <w:tcBorders>
              <w:top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2" w:type="dxa"/>
            <w:vAlign w:val="top"/>
            <w:tcBorders>
              <w:top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33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104"/>
              <w:spacing w:before="89" w:line="190" w:lineRule="auto"/>
              <w:rPr/>
            </w:pPr>
            <w:r>
              <w:rPr>
                <w:spacing w:val="3"/>
              </w:rPr>
              <w:t>立案。</w:t>
            </w:r>
          </w:p>
        </w:tc>
      </w:tr>
      <w:tr>
        <w:trPr>
          <w:trHeight w:val="1080" w:hRule="atLeast"/>
        </w:trPr>
        <w:tc>
          <w:tcPr>
            <w:shd w:val="clear" w:fill="C7DAF1"/>
            <w:tcW w:w="2806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34"/>
              <w:spacing w:before="85" w:line="179" w:lineRule="auto"/>
              <w:rPr/>
            </w:pPr>
            <w:r>
              <w:rPr>
                <w:spacing w:val="3"/>
              </w:rPr>
              <w:t>002610</w:t>
            </w:r>
          </w:p>
        </w:tc>
        <w:tc>
          <w:tcPr>
            <w:shd w:val="clear" w:fill="C7DAF1"/>
            <w:tcW w:w="1572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7"/>
              <w:spacing w:before="86" w:line="189" w:lineRule="auto"/>
              <w:rPr/>
            </w:pPr>
            <w:r>
              <w:rPr/>
              <w:t>ST</w:t>
            </w:r>
            <w:r>
              <w:rPr>
                <w:spacing w:val="8"/>
              </w:rPr>
              <w:t>爱康</w:t>
            </w:r>
          </w:p>
        </w:tc>
        <w:tc>
          <w:tcPr>
            <w:shd w:val="clear" w:fill="C7DAF1"/>
            <w:tcW w:w="6533" w:type="dxa"/>
            <w:vAlign w:val="top"/>
          </w:tcPr>
          <w:p>
            <w:pPr>
              <w:pStyle w:val="TableText"/>
              <w:ind w:left="101" w:right="121" w:firstLine="14"/>
              <w:spacing w:before="44" w:line="239" w:lineRule="auto"/>
              <w:jc w:val="both"/>
              <w:rPr/>
            </w:pPr>
            <w:r>
              <w:rPr>
                <w:spacing w:val="7"/>
              </w:rPr>
              <w:t>因公司及实际控制人涉嫌信息披露违法违规， 根据《中华人民共和国</w:t>
            </w:r>
            <w:r>
              <w:rPr>
                <w:spacing w:val="3"/>
              </w:rPr>
              <w:t xml:space="preserve"> </w:t>
            </w:r>
            <w:r>
              <w:rPr>
                <w:spacing w:val="7"/>
              </w:rPr>
              <w:t>证券法》《中华人民共和国行政处罚法》等法律法规， 中国证监会决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9"/>
              </w:rPr>
              <w:t>定对浙江爱康新能源科技股份有限公司及实际控制人立案。</w:t>
            </w:r>
          </w:p>
        </w:tc>
      </w:tr>
      <w:tr>
        <w:trPr>
          <w:trHeight w:val="1089" w:hRule="atLeast"/>
        </w:trPr>
        <w:tc>
          <w:tcPr>
            <w:tcW w:w="2806" w:type="dxa"/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37"/>
              <w:spacing w:before="85" w:line="178" w:lineRule="auto"/>
              <w:rPr/>
            </w:pPr>
            <w:r>
              <w:rPr>
                <w:spacing w:val="3"/>
              </w:rPr>
              <w:t>600753</w:t>
            </w:r>
          </w:p>
        </w:tc>
        <w:tc>
          <w:tcPr>
            <w:tcW w:w="1572" w:type="dxa"/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8"/>
              <w:spacing w:before="86" w:line="189" w:lineRule="auto"/>
              <w:rPr/>
            </w:pPr>
            <w:r>
              <w:rPr>
                <w:spacing w:val="8"/>
              </w:rPr>
              <w:t>庚星股份</w:t>
            </w:r>
          </w:p>
        </w:tc>
        <w:tc>
          <w:tcPr>
            <w:tcW w:w="6533" w:type="dxa"/>
            <w:vAlign w:val="top"/>
          </w:tcPr>
          <w:p>
            <w:pPr>
              <w:pStyle w:val="TableText"/>
              <w:ind w:left="101" w:right="121" w:firstLine="14"/>
              <w:spacing w:before="49"/>
              <w:jc w:val="both"/>
              <w:rPr/>
            </w:pPr>
            <w:r>
              <w:rPr>
                <w:spacing w:val="7"/>
              </w:rPr>
              <w:t>因控股股东中庚集团涉嫌信息披露违法违规， 根据《中华人民共和国</w:t>
            </w:r>
            <w:r>
              <w:rPr>
                <w:spacing w:val="3"/>
              </w:rPr>
              <w:t xml:space="preserve"> </w:t>
            </w:r>
            <w:r>
              <w:rPr>
                <w:spacing w:val="7"/>
              </w:rPr>
              <w:t>证券法》《中华人民共和国行政处罚法》等法律法规， 中国证监会决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8"/>
              </w:rPr>
              <w:t>定对中庚集团立案。</w:t>
            </w:r>
          </w:p>
        </w:tc>
      </w:tr>
    </w:tbl>
    <w:p>
      <w:pPr>
        <w:pStyle w:val="BodyText"/>
        <w:spacing w:line="293" w:lineRule="auto"/>
        <w:rPr/>
      </w:pPr>
      <w:r/>
    </w:p>
    <w:p>
      <w:pPr>
        <w:pStyle w:val="BodyText"/>
        <w:spacing w:line="294" w:lineRule="auto"/>
        <w:rPr/>
      </w:pPr>
      <w:r/>
    </w:p>
    <w:p>
      <w:pPr>
        <w:ind w:left="614"/>
        <w:spacing w:before="103" w:line="225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4"/>
        </w:rPr>
        <w:t>（3） 结案通知</w:t>
      </w:r>
    </w:p>
    <w:p>
      <w:pPr>
        <w:spacing w:before="79"/>
        <w:rPr/>
      </w:pPr>
      <w:r/>
    </w:p>
    <w:p>
      <w:pPr>
        <w:spacing w:before="78"/>
        <w:rPr/>
      </w:pPr>
      <w:r/>
    </w:p>
    <w:tbl>
      <w:tblPr>
        <w:tblStyle w:val="TableNormal"/>
        <w:tblW w:w="11047" w:type="dxa"/>
        <w:tblInd w:w="7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2915"/>
        <w:gridCol w:w="1585"/>
        <w:gridCol w:w="6547"/>
      </w:tblGrid>
      <w:tr>
        <w:trPr>
          <w:trHeight w:val="384" w:hRule="atLeast"/>
        </w:trPr>
        <w:tc>
          <w:tcPr>
            <w:shd w:val="clear" w:fill="4F81BD"/>
            <w:tcW w:w="2915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1032"/>
              <w:spacing w:before="110" w:line="184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585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366"/>
              <w:spacing w:before="110" w:line="184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6547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847"/>
              <w:spacing w:before="109" w:line="185" w:lineRule="auto"/>
              <w:rPr/>
            </w:pPr>
            <w:r>
              <w:rPr>
                <w:b/>
                <w:bCs/>
                <w:color w:val="FFFFFF"/>
                <w:spacing w:val="8"/>
              </w:rPr>
              <w:t>结案通知</w:t>
            </w:r>
          </w:p>
        </w:tc>
      </w:tr>
      <w:tr>
        <w:trPr>
          <w:trHeight w:val="1449" w:hRule="atLeast"/>
        </w:trPr>
        <w:tc>
          <w:tcPr>
            <w:tcW w:w="2915" w:type="dxa"/>
            <w:vAlign w:val="top"/>
            <w:tcBorders>
              <w:top w:val="single" w:color="FFFFFF" w:sz="2" w:space="0"/>
            </w:tcBorders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87"/>
              <w:spacing w:before="86" w:line="178" w:lineRule="auto"/>
              <w:rPr/>
            </w:pPr>
            <w:r>
              <w:rPr>
                <w:spacing w:val="3"/>
              </w:rPr>
              <w:t>002450</w:t>
            </w:r>
          </w:p>
        </w:tc>
        <w:tc>
          <w:tcPr>
            <w:tcW w:w="1585" w:type="dxa"/>
            <w:vAlign w:val="top"/>
            <w:tcBorders>
              <w:top w:val="single" w:color="FFFFFF" w:sz="2" w:space="0"/>
            </w:tcBorders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70"/>
              <w:spacing w:before="86" w:line="189" w:lineRule="auto"/>
              <w:rPr/>
            </w:pPr>
            <w:r>
              <w:rPr>
                <w:spacing w:val="8"/>
              </w:rPr>
              <w:t>康得退</w:t>
            </w:r>
          </w:p>
        </w:tc>
        <w:tc>
          <w:tcPr>
            <w:tcW w:w="6547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102" w:right="134" w:firstLine="9"/>
              <w:spacing w:before="89" w:line="236" w:lineRule="auto"/>
              <w:rPr/>
            </w:pPr>
            <w:r>
              <w:rPr>
                <w:spacing w:val="7"/>
              </w:rPr>
              <w:t>2018年， 中国证监会对公司、公司原控股股东康得投资</w:t>
            </w:r>
            <w:r>
              <w:rPr>
                <w:spacing w:val="6"/>
              </w:rPr>
              <w:t>集团有限公</w:t>
            </w:r>
            <w:r>
              <w:rPr/>
              <w:t xml:space="preserve">   </w:t>
            </w:r>
            <w:r>
              <w:rPr>
                <w:spacing w:val="10"/>
              </w:rPr>
              <w:t>司及公司原实际控制人涉嫌未披露股东间一致行动关</w:t>
            </w:r>
            <w:r>
              <w:rPr>
                <w:spacing w:val="9"/>
              </w:rPr>
              <w:t>系的信息披露违</w:t>
            </w:r>
            <w:r>
              <w:rPr/>
              <w:t xml:space="preserve"> </w:t>
            </w:r>
            <w:r>
              <w:rPr>
                <w:spacing w:val="5"/>
              </w:rPr>
              <w:t>法违规行为立案稽查。经审理， 上述主体涉嫌的违法事实不成立， 中</w:t>
            </w:r>
            <w:r>
              <w:rPr>
                <w:spacing w:val="15"/>
              </w:rPr>
              <w:t xml:space="preserve"> </w:t>
            </w:r>
            <w:r>
              <w:rPr>
                <w:spacing w:val="8"/>
              </w:rPr>
              <w:t>国证监会决定本案结案。</w:t>
            </w:r>
          </w:p>
        </w:tc>
      </w:tr>
    </w:tbl>
    <w:p>
      <w:pPr>
        <w:pStyle w:val="BodyText"/>
        <w:rPr/>
      </w:pPr>
      <w:r/>
    </w:p>
    <w:p>
      <w:pPr>
        <w:sectPr>
          <w:pgSz w:w="11910" w:h="16840"/>
          <w:pgMar w:top="400" w:right="506" w:bottom="0" w:left="341" w:header="0" w:footer="0" w:gutter="0"/>
        </w:sectPr>
        <w:rPr/>
      </w:pPr>
    </w:p>
    <w:p>
      <w:pPr>
        <w:spacing w:line="924" w:lineRule="exact"/>
        <w:rPr/>
      </w:pPr>
      <w:r>
        <w:rPr>
          <w:position w:val="-18"/>
        </w:rPr>
        <w:pict>
          <v:group id="_x0000_s20" style="mso-position-vertical-relative:line;mso-position-horizontal-relative:char;width:134.8pt;height:46.25pt;" filled="false" stroked="false" coordsize="2696,925" coordorigin="0,0">
            <v:shape id="_x0000_s22" style="position:absolute;left:0;top:0;width:2696;height:925;" filled="false" stroked="false" type="#_x0000_t75">
              <v:imagedata o:title="" r:id="rId14"/>
            </v:shape>
            <v:shape id="_x0000_s24" style="position:absolute;left:-20;top:-20;width:2736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73"/>
                      <w:spacing w:before="243" w:line="183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b/>
                        <w:bCs/>
                        <w:color w:val="FFFFFF"/>
                        <w:spacing w:val="-1"/>
                      </w:rPr>
                      <w:t>上交所监管动态</w:t>
                    </w:r>
                  </w:p>
                </w:txbxContent>
              </v:textbox>
            </v:shape>
          </v:group>
        </w:pict>
      </w:r>
    </w:p>
    <w:p>
      <w:pPr>
        <w:ind w:left="901"/>
        <w:spacing w:before="141" w:line="184" w:lineRule="auto"/>
        <w:outlineLvl w:val="0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b/>
          <w:bCs/>
          <w:spacing w:val="-5"/>
        </w:rPr>
        <w:t>1、上市公司监管动态</w:t>
      </w:r>
    </w:p>
    <w:p>
      <w:pPr>
        <w:ind w:left="459" w:firstLine="473"/>
        <w:spacing w:before="171" w:line="359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3"/>
        </w:rPr>
        <w:t>2024年6月10日-6月16日， 上交所公司监管部门作出12份监管警示函， 对3宗行为予以纪律处分。</w:t>
      </w:r>
      <w:r>
        <w:rPr>
          <w:rFonts w:ascii="Microsoft YaHei" w:hAnsi="Microsoft YaHei" w:eastAsia="Microsoft YaHei" w:cs="Microsoft YaHei"/>
          <w:sz w:val="24"/>
          <w:szCs w:val="24"/>
          <w:spacing w:val="1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4"/>
        </w:rPr>
        <w:t>同时， 加大信息披露和股价异常的联动监管， 针对公司披露敏感信息或股</w:t>
      </w: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价发生明显异常的， 提请启动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2"/>
        </w:rPr>
        <w:t>内幕交易、异常交易核查5单。</w:t>
      </w:r>
    </w:p>
    <w:p>
      <w:pPr>
        <w:pStyle w:val="BodyText"/>
        <w:spacing w:line="268" w:lineRule="auto"/>
        <w:rPr/>
      </w:pPr>
      <w:r/>
    </w:p>
    <w:p>
      <w:pPr>
        <w:ind w:firstLine="1731"/>
        <w:spacing w:line="5184" w:lineRule="exact"/>
        <w:rPr/>
      </w:pPr>
      <w:r>
        <w:rPr>
          <w:position w:val="-103"/>
        </w:rPr>
        <w:drawing>
          <wp:inline distT="0" distB="0" distL="0" distR="0">
            <wp:extent cx="5495925" cy="3291839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495925" cy="3291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ind w:left="1237"/>
        <w:spacing w:before="104" w:line="225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1"/>
        </w:rPr>
        <w:t>（1） 监管措施统计</w:t>
      </w:r>
    </w:p>
    <w:p>
      <w:pPr>
        <w:spacing w:line="209" w:lineRule="exact"/>
        <w:rPr/>
      </w:pPr>
      <w:r/>
    </w:p>
    <w:tbl>
      <w:tblPr>
        <w:tblStyle w:val="TableNormal"/>
        <w:tblW w:w="8819" w:type="dxa"/>
        <w:tblInd w:w="1665" w:type="dxa"/>
        <w:tblLayout w:type="fixed"/>
        <w:tblBorders>
          <w:top w:val="single" w:color="C0504D" w:sz="6" w:space="0"/>
          <w:left w:val="single" w:color="C0504D" w:sz="6" w:space="0"/>
          <w:bottom w:val="single" w:color="C0504D" w:sz="6" w:space="0"/>
          <w:right w:val="single" w:color="C0504D" w:sz="6" w:space="0"/>
          <w:insideH w:val="single" w:color="C0504D" w:sz="6" w:space="0"/>
          <w:insideV w:val="single" w:color="C0504D" w:sz="6" w:space="0"/>
        </w:tblBorders>
      </w:tblPr>
      <w:tblGrid>
        <w:gridCol w:w="1276"/>
        <w:gridCol w:w="1215"/>
        <w:gridCol w:w="1324"/>
        <w:gridCol w:w="5004"/>
      </w:tblGrid>
      <w:tr>
        <w:trPr>
          <w:trHeight w:val="378" w:hRule="atLeast"/>
        </w:trPr>
        <w:tc>
          <w:tcPr>
            <w:shd w:val="clear" w:fill="C0504D"/>
            <w:tcW w:w="1276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212"/>
              <w:spacing w:before="92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C0504D"/>
            <w:tcW w:w="1215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179"/>
              <w:spacing w:before="92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C0504D"/>
            <w:tcW w:w="1324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246"/>
              <w:spacing w:before="94" w:line="188" w:lineRule="auto"/>
              <w:rPr/>
            </w:pPr>
            <w:r>
              <w:rPr>
                <w:b/>
                <w:bCs/>
                <w:color w:val="FFFFFF"/>
                <w:spacing w:val="5"/>
              </w:rPr>
              <w:t>函件类别</w:t>
            </w:r>
          </w:p>
        </w:tc>
        <w:tc>
          <w:tcPr>
            <w:shd w:val="clear" w:fill="C0504D"/>
            <w:tcW w:w="5004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2074"/>
              <w:spacing w:before="92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违规类型</w:t>
            </w:r>
          </w:p>
        </w:tc>
      </w:tr>
      <w:tr>
        <w:trPr>
          <w:trHeight w:val="1078" w:hRule="atLeast"/>
        </w:trPr>
        <w:tc>
          <w:tcPr>
            <w:shd w:val="clear" w:fill="F2DCDC"/>
            <w:tcW w:w="1276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270"/>
              <w:spacing w:before="91" w:line="179" w:lineRule="auto"/>
              <w:rPr/>
            </w:pPr>
            <w:r>
              <w:rPr>
                <w:spacing w:val="3"/>
              </w:rPr>
              <w:t>600172</w:t>
            </w:r>
          </w:p>
        </w:tc>
        <w:tc>
          <w:tcPr>
            <w:shd w:val="clear" w:fill="F2DCDC"/>
            <w:tcW w:w="1215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181"/>
              <w:spacing w:before="78" w:line="189" w:lineRule="auto"/>
              <w:rPr/>
            </w:pPr>
            <w:r>
              <w:rPr>
                <w:spacing w:val="8"/>
              </w:rPr>
              <w:t>黄河旋风</w:t>
            </w:r>
          </w:p>
        </w:tc>
        <w:tc>
          <w:tcPr>
            <w:shd w:val="clear" w:fill="F2DCDC"/>
            <w:tcW w:w="1324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236"/>
              <w:spacing w:before="78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shd w:val="clear" w:fill="F2DCDC"/>
            <w:tcW w:w="5004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6" w:right="159" w:hanging="4"/>
              <w:spacing w:before="78" w:line="346" w:lineRule="auto"/>
              <w:rPr/>
            </w:pPr>
            <w:r>
              <w:rPr>
                <w:spacing w:val="9"/>
              </w:rPr>
              <w:t>公司存在多期定期报告</w:t>
            </w:r>
            <w:r>
              <w:rPr>
                <w:b/>
                <w:bCs/>
                <w:spacing w:val="9"/>
              </w:rPr>
              <w:t>财务信息披露不准确</w:t>
            </w:r>
            <w:r>
              <w:rPr>
                <w:spacing w:val="9"/>
              </w:rPr>
              <w:t>的违规行</w:t>
            </w:r>
            <w:r>
              <w:rPr>
                <w:spacing w:val="18"/>
              </w:rPr>
              <w:t xml:space="preserve"> </w:t>
            </w:r>
            <w:r>
              <w:rPr/>
              <w:t>为。</w:t>
            </w:r>
          </w:p>
        </w:tc>
      </w:tr>
      <w:tr>
        <w:trPr>
          <w:trHeight w:val="1083" w:hRule="atLeast"/>
        </w:trPr>
        <w:tc>
          <w:tcPr>
            <w:tcW w:w="1276" w:type="dxa"/>
            <w:vAlign w:val="top"/>
          </w:tcPr>
          <w:p>
            <w:pPr>
              <w:pStyle w:val="TableText"/>
              <w:ind w:left="270"/>
              <w:spacing w:before="97" w:line="179" w:lineRule="auto"/>
              <w:rPr/>
            </w:pPr>
            <w:r>
              <w:rPr>
                <w:spacing w:val="3"/>
              </w:rPr>
              <w:t>601028</w:t>
            </w:r>
          </w:p>
        </w:tc>
        <w:tc>
          <w:tcPr>
            <w:tcW w:w="1215" w:type="dxa"/>
            <w:vAlign w:val="top"/>
          </w:tcPr>
          <w:p>
            <w:pPr>
              <w:pStyle w:val="TableText"/>
              <w:ind w:left="182"/>
              <w:spacing w:before="86" w:line="188" w:lineRule="auto"/>
              <w:rPr/>
            </w:pPr>
            <w:r>
              <w:rPr>
                <w:spacing w:val="7"/>
              </w:rPr>
              <w:t>玉龙股份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ind w:left="236"/>
              <w:spacing w:before="84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tcW w:w="5004" w:type="dxa"/>
            <w:vAlign w:val="top"/>
          </w:tcPr>
          <w:p>
            <w:pPr>
              <w:pStyle w:val="TableText"/>
              <w:ind w:left="19" w:right="481" w:hanging="16"/>
              <w:spacing w:before="46" w:line="359" w:lineRule="auto"/>
              <w:rPr/>
            </w:pPr>
            <w:r>
              <w:rPr>
                <w:spacing w:val="9"/>
              </w:rPr>
              <w:t>厚皑科技作为公司5%以上股东减持股份</w:t>
            </w:r>
            <w:r>
              <w:rPr>
                <w:b/>
                <w:bCs/>
                <w:spacing w:val="9"/>
              </w:rPr>
              <w:t>累计达到</w:t>
            </w:r>
            <w:r>
              <w:rPr>
                <w:b/>
                <w:bCs/>
                <w:spacing w:val="10"/>
              </w:rPr>
              <w:t xml:space="preserve"> </w:t>
            </w:r>
            <w:r>
              <w:rPr>
                <w:b/>
                <w:bCs/>
                <w:spacing w:val="4"/>
              </w:rPr>
              <w:t>1%</w:t>
            </w:r>
            <w:r>
              <w:rPr>
                <w:spacing w:val="4"/>
              </w:rPr>
              <w:t>， 但其未及时通知公司并履行信息披露义</w:t>
            </w:r>
            <w:r>
              <w:rPr>
                <w:spacing w:val="3"/>
              </w:rPr>
              <w:t>务。</w:t>
            </w:r>
          </w:p>
        </w:tc>
      </w:tr>
      <w:tr>
        <w:trPr>
          <w:trHeight w:val="2160" w:hRule="atLeast"/>
        </w:trPr>
        <w:tc>
          <w:tcPr>
            <w:shd w:val="clear" w:fill="F2DCDC"/>
            <w:tcW w:w="1276" w:type="dxa"/>
            <w:vAlign w:val="top"/>
          </w:tcPr>
          <w:p>
            <w:pPr>
              <w:pStyle w:val="TableText"/>
              <w:ind w:left="270"/>
              <w:spacing w:before="101" w:line="179" w:lineRule="auto"/>
              <w:rPr/>
            </w:pPr>
            <w:r>
              <w:rPr>
                <w:spacing w:val="3"/>
              </w:rPr>
              <w:t>688130</w:t>
            </w:r>
          </w:p>
        </w:tc>
        <w:tc>
          <w:tcPr>
            <w:shd w:val="clear" w:fill="F2DCDC"/>
            <w:tcW w:w="1215" w:type="dxa"/>
            <w:vAlign w:val="top"/>
          </w:tcPr>
          <w:p>
            <w:pPr>
              <w:pStyle w:val="TableText"/>
              <w:ind w:left="294"/>
              <w:spacing w:before="88" w:line="189" w:lineRule="auto"/>
              <w:rPr/>
            </w:pPr>
            <w:r>
              <w:rPr>
                <w:spacing w:val="5"/>
              </w:rPr>
              <w:t>晶华微</w:t>
            </w:r>
          </w:p>
        </w:tc>
        <w:tc>
          <w:tcPr>
            <w:shd w:val="clear" w:fill="F2DCDC"/>
            <w:tcW w:w="1324" w:type="dxa"/>
            <w:vAlign w:val="top"/>
          </w:tcPr>
          <w:p>
            <w:pPr>
              <w:pStyle w:val="TableText"/>
              <w:ind w:left="236"/>
              <w:spacing w:before="88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shd w:val="clear" w:fill="F2DCDC"/>
            <w:tcW w:w="5004" w:type="dxa"/>
            <w:vAlign w:val="top"/>
          </w:tcPr>
          <w:p>
            <w:pPr>
              <w:pStyle w:val="TableText"/>
              <w:ind w:left="2" w:right="87"/>
              <w:spacing w:before="85" w:line="361" w:lineRule="auto"/>
              <w:jc w:val="both"/>
              <w:rPr/>
            </w:pPr>
            <w:r>
              <w:rPr>
                <w:spacing w:val="6"/>
              </w:rPr>
              <w:t>公司前期部分</w:t>
            </w:r>
            <w:r>
              <w:rPr>
                <w:b/>
                <w:bCs/>
                <w:spacing w:val="6"/>
              </w:rPr>
              <w:t>会计处理存在差错</w:t>
            </w:r>
            <w:r>
              <w:rPr>
                <w:spacing w:val="6"/>
              </w:rPr>
              <w:t>， 2022年半年度及第</w:t>
            </w:r>
            <w:r>
              <w:rPr>
                <w:spacing w:val="13"/>
              </w:rPr>
              <w:t xml:space="preserve"> </w:t>
            </w:r>
            <w:r>
              <w:rPr>
                <w:spacing w:val="7"/>
              </w:rPr>
              <w:t>三季度报告相关</w:t>
            </w:r>
            <w:r>
              <w:rPr>
                <w:b/>
                <w:bCs/>
                <w:spacing w:val="7"/>
              </w:rPr>
              <w:t>财务信息</w:t>
            </w:r>
            <w:r>
              <w:rPr>
                <w:spacing w:val="7"/>
              </w:rPr>
              <w:t>披露披露不准确； </w:t>
            </w:r>
            <w:r>
              <w:rPr>
                <w:b/>
                <w:bCs/>
                <w:spacing w:val="7"/>
              </w:rPr>
              <w:t>募</w:t>
            </w:r>
            <w:r>
              <w:rPr>
                <w:b/>
                <w:bCs/>
                <w:spacing w:val="6"/>
              </w:rPr>
              <w:t>集资金</w:t>
            </w:r>
            <w:r>
              <w:rPr>
                <w:b/>
                <w:bCs/>
              </w:rPr>
              <w:t xml:space="preserve">  </w:t>
            </w:r>
            <w:r>
              <w:rPr>
                <w:b/>
                <w:bCs/>
                <w:spacing w:val="7"/>
              </w:rPr>
              <w:t>管理和财务章使用</w:t>
            </w:r>
            <w:r>
              <w:rPr>
                <w:spacing w:val="7"/>
              </w:rPr>
              <w:t>不规范。此外， 在发行上市</w:t>
            </w:r>
            <w:r>
              <w:rPr>
                <w:spacing w:val="6"/>
              </w:rPr>
              <w:t>审核阶</w:t>
            </w:r>
            <w:r>
              <w:rPr/>
              <w:t xml:space="preserve">  </w:t>
            </w:r>
            <w:r>
              <w:rPr>
                <w:spacing w:val="6"/>
              </w:rPr>
              <w:t>段， 公司及关联方的</w:t>
            </w:r>
            <w:r>
              <w:rPr>
                <w:b/>
                <w:bCs/>
                <w:spacing w:val="6"/>
              </w:rPr>
              <w:t>资金往来情况</w:t>
            </w:r>
            <w:r>
              <w:rPr>
                <w:spacing w:val="6"/>
              </w:rPr>
              <w:t>披露不准确。</w:t>
            </w:r>
          </w:p>
        </w:tc>
      </w:tr>
      <w:tr>
        <w:trPr>
          <w:trHeight w:val="551" w:hRule="atLeast"/>
        </w:trPr>
        <w:tc>
          <w:tcPr>
            <w:tcW w:w="1276" w:type="dxa"/>
            <w:vAlign w:val="top"/>
          </w:tcPr>
          <w:p>
            <w:pPr>
              <w:pStyle w:val="TableText"/>
              <w:ind w:left="270"/>
              <w:spacing w:before="109" w:line="178" w:lineRule="auto"/>
              <w:rPr/>
            </w:pPr>
            <w:r>
              <w:rPr>
                <w:spacing w:val="3"/>
              </w:rPr>
              <w:t>600403</w:t>
            </w:r>
          </w:p>
        </w:tc>
        <w:tc>
          <w:tcPr>
            <w:tcW w:w="1215" w:type="dxa"/>
            <w:vAlign w:val="top"/>
          </w:tcPr>
          <w:p>
            <w:pPr>
              <w:pStyle w:val="TableText"/>
              <w:ind w:left="178"/>
              <w:spacing w:before="93" w:line="190" w:lineRule="auto"/>
              <w:rPr/>
            </w:pPr>
            <w:r>
              <w:rPr>
                <w:spacing w:val="8"/>
              </w:rPr>
              <w:t>大有能源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ind w:left="236"/>
              <w:spacing w:before="94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tcW w:w="5004" w:type="dxa"/>
            <w:vAlign w:val="top"/>
          </w:tcPr>
          <w:p>
            <w:pPr>
              <w:pStyle w:val="TableText"/>
              <w:ind w:left="12"/>
              <w:spacing w:before="93" w:line="190" w:lineRule="auto"/>
              <w:rPr/>
            </w:pPr>
            <w:r>
              <w:rPr>
                <w:spacing w:val="6"/>
              </w:rPr>
              <w:t>2023年第三季度报告</w:t>
            </w:r>
            <w:r>
              <w:rPr>
                <w:b/>
                <w:bCs/>
                <w:spacing w:val="6"/>
              </w:rPr>
              <w:t>财务信息</w:t>
            </w:r>
            <w:r>
              <w:rPr>
                <w:spacing w:val="6"/>
              </w:rPr>
              <w:t>披露不准确； </w:t>
            </w:r>
            <w:r>
              <w:rPr>
                <w:b/>
                <w:bCs/>
                <w:spacing w:val="6"/>
              </w:rPr>
              <w:t>重大诉讼</w:t>
            </w:r>
          </w:p>
        </w:tc>
      </w:tr>
    </w:tbl>
    <w:p>
      <w:pPr>
        <w:pStyle w:val="BodyText"/>
        <w:rPr/>
      </w:pPr>
      <w:r/>
    </w:p>
    <w:p>
      <w:pPr>
        <w:sectPr>
          <w:pgSz w:w="11910" w:h="16840"/>
          <w:pgMar w:top="400" w:right="642" w:bottom="0" w:left="0" w:header="0" w:footer="0" w:gutter="0"/>
        </w:sectPr>
        <w:rPr/>
      </w:pPr>
    </w:p>
    <w:tbl>
      <w:tblPr>
        <w:tblStyle w:val="TableNormal"/>
        <w:tblW w:w="8819" w:type="dxa"/>
        <w:tblInd w:w="668" w:type="dxa"/>
        <w:tblLayout w:type="fixed"/>
        <w:tblBorders>
          <w:top w:val="single" w:color="C0504D" w:sz="6" w:space="0"/>
          <w:left w:val="single" w:color="C0504D" w:sz="6" w:space="0"/>
          <w:bottom w:val="single" w:color="C0504D" w:sz="6" w:space="0"/>
          <w:right w:val="single" w:color="C0504D" w:sz="6" w:space="0"/>
          <w:insideH w:val="single" w:color="C0504D" w:sz="6" w:space="0"/>
          <w:insideV w:val="single" w:color="C0504D" w:sz="6" w:space="0"/>
        </w:tblBorders>
      </w:tblPr>
      <w:tblGrid>
        <w:gridCol w:w="1276"/>
        <w:gridCol w:w="1215"/>
        <w:gridCol w:w="1324"/>
        <w:gridCol w:w="5004"/>
      </w:tblGrid>
      <w:tr>
        <w:trPr>
          <w:trHeight w:val="564" w:hRule="atLeast"/>
        </w:trPr>
        <w:tc>
          <w:tcPr>
            <w:tcW w:w="1276" w:type="dxa"/>
            <w:vAlign w:val="top"/>
            <w:tcBorders>
              <w:top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15" w:type="dxa"/>
            <w:vAlign w:val="top"/>
            <w:tcBorders>
              <w:top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24" w:type="dxa"/>
            <w:vAlign w:val="top"/>
            <w:tcBorders>
              <w:top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004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3"/>
              <w:spacing w:before="102" w:line="189" w:lineRule="auto"/>
              <w:rPr/>
            </w:pPr>
            <w:r>
              <w:rPr>
                <w:b/>
                <w:bCs/>
                <w:spacing w:val="8"/>
              </w:rPr>
              <w:t>进展</w:t>
            </w:r>
            <w:r>
              <w:rPr>
                <w:spacing w:val="8"/>
              </w:rPr>
              <w:t>披露不及时。</w:t>
            </w:r>
          </w:p>
        </w:tc>
      </w:tr>
      <w:tr>
        <w:trPr>
          <w:trHeight w:val="1085" w:hRule="atLeast"/>
        </w:trPr>
        <w:tc>
          <w:tcPr>
            <w:shd w:val="clear" w:fill="F2DCDC"/>
            <w:tcW w:w="1276" w:type="dxa"/>
            <w:vAlign w:val="top"/>
          </w:tcPr>
          <w:p>
            <w:pPr>
              <w:pStyle w:val="TableText"/>
              <w:ind w:left="270"/>
              <w:spacing w:before="96" w:line="179" w:lineRule="auto"/>
              <w:rPr/>
            </w:pPr>
            <w:r>
              <w:rPr>
                <w:spacing w:val="3"/>
              </w:rPr>
              <w:t>600128</w:t>
            </w:r>
          </w:p>
        </w:tc>
        <w:tc>
          <w:tcPr>
            <w:shd w:val="clear" w:fill="F2DCDC"/>
            <w:tcW w:w="1215" w:type="dxa"/>
            <w:vAlign w:val="top"/>
          </w:tcPr>
          <w:p>
            <w:pPr>
              <w:pStyle w:val="TableText"/>
              <w:ind w:left="177"/>
              <w:spacing w:before="81" w:line="190" w:lineRule="auto"/>
              <w:rPr/>
            </w:pPr>
            <w:r>
              <w:rPr>
                <w:spacing w:val="8"/>
              </w:rPr>
              <w:t>苏豪弘业</w:t>
            </w:r>
          </w:p>
        </w:tc>
        <w:tc>
          <w:tcPr>
            <w:shd w:val="clear" w:fill="F2DCDC"/>
            <w:tcW w:w="1324" w:type="dxa"/>
            <w:vAlign w:val="top"/>
          </w:tcPr>
          <w:p>
            <w:pPr>
              <w:pStyle w:val="TableText"/>
              <w:ind w:left="236"/>
              <w:spacing w:before="82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shd w:val="clear" w:fill="F2DCDC"/>
            <w:tcW w:w="5004" w:type="dxa"/>
            <w:vAlign w:val="top"/>
          </w:tcPr>
          <w:p>
            <w:pPr>
              <w:pStyle w:val="TableText"/>
              <w:ind w:left="2" w:right="159"/>
              <w:spacing w:before="79" w:line="348" w:lineRule="auto"/>
              <w:rPr/>
            </w:pPr>
            <w:r>
              <w:rPr>
                <w:spacing w:val="7"/>
              </w:rPr>
              <w:t>公司前期部分会计核算和会计处理存在差错， 导</w:t>
            </w:r>
            <w:r>
              <w:rPr>
                <w:spacing w:val="6"/>
              </w:rPr>
              <w:t>致多</w:t>
            </w:r>
            <w:r>
              <w:rPr/>
              <w:t xml:space="preserve"> </w:t>
            </w:r>
            <w:r>
              <w:rPr>
                <w:spacing w:val="9"/>
              </w:rPr>
              <w:t>期定期报告相关</w:t>
            </w:r>
            <w:r>
              <w:rPr>
                <w:b/>
                <w:bCs/>
                <w:spacing w:val="9"/>
              </w:rPr>
              <w:t>财务信息披露不准确</w:t>
            </w:r>
            <w:r>
              <w:rPr>
                <w:spacing w:val="9"/>
              </w:rPr>
              <w:t>。</w:t>
            </w:r>
          </w:p>
        </w:tc>
      </w:tr>
      <w:tr>
        <w:trPr>
          <w:trHeight w:val="1624" w:hRule="atLeast"/>
        </w:trPr>
        <w:tc>
          <w:tcPr>
            <w:tcW w:w="1276" w:type="dxa"/>
            <w:vAlign w:val="top"/>
          </w:tcPr>
          <w:p>
            <w:pPr>
              <w:pStyle w:val="TableText"/>
              <w:ind w:left="270"/>
              <w:spacing w:before="96" w:line="178" w:lineRule="auto"/>
              <w:rPr/>
            </w:pPr>
            <w:r>
              <w:rPr>
                <w:spacing w:val="3"/>
              </w:rPr>
              <w:t>600565</w:t>
            </w:r>
          </w:p>
        </w:tc>
        <w:tc>
          <w:tcPr>
            <w:tcW w:w="1215" w:type="dxa"/>
            <w:vAlign w:val="top"/>
          </w:tcPr>
          <w:p>
            <w:pPr>
              <w:pStyle w:val="TableText"/>
              <w:ind w:left="277"/>
              <w:spacing w:before="82" w:line="189" w:lineRule="auto"/>
              <w:rPr/>
            </w:pPr>
            <w:r>
              <w:rPr/>
              <w:t>ST</w:t>
            </w:r>
            <w:r>
              <w:rPr>
                <w:spacing w:val="8"/>
              </w:rPr>
              <w:t>迪马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ind w:left="236"/>
              <w:spacing w:before="82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tcW w:w="5004" w:type="dxa"/>
            <w:vAlign w:val="top"/>
          </w:tcPr>
          <w:p>
            <w:pPr>
              <w:pStyle w:val="TableText"/>
              <w:ind w:left="2" w:right="159"/>
              <w:spacing w:before="82" w:line="357" w:lineRule="auto"/>
              <w:jc w:val="both"/>
              <w:rPr/>
            </w:pPr>
            <w:r>
              <w:rPr>
                <w:spacing w:val="9"/>
              </w:rPr>
              <w:t>公司及控股股东多次通过</w:t>
            </w:r>
            <w:r>
              <w:rPr>
                <w:b/>
                <w:bCs/>
                <w:spacing w:val="9"/>
              </w:rPr>
              <w:t>非法定信息披露渠道</w:t>
            </w:r>
            <w:r>
              <w:rPr>
                <w:spacing w:val="9"/>
              </w:rPr>
              <w:t>发布与</w:t>
            </w:r>
            <w:r>
              <w:rPr>
                <w:spacing w:val="18"/>
              </w:rPr>
              <w:t xml:space="preserve"> </w:t>
            </w:r>
            <w:r>
              <w:rPr>
                <w:spacing w:val="7"/>
              </w:rPr>
              <w:t>上市公司相关的重要信息， 信息发布后公司股</w:t>
            </w:r>
            <w:r>
              <w:rPr>
                <w:spacing w:val="6"/>
              </w:rPr>
              <w:t>价大幅</w:t>
            </w:r>
            <w:r>
              <w:rPr/>
              <w:t xml:space="preserve"> </w:t>
            </w:r>
            <w:r>
              <w:rPr>
                <w:spacing w:val="5"/>
              </w:rPr>
              <w:t>波动。</w:t>
            </w:r>
          </w:p>
        </w:tc>
      </w:tr>
      <w:tr>
        <w:trPr>
          <w:trHeight w:val="544" w:hRule="atLeast"/>
        </w:trPr>
        <w:tc>
          <w:tcPr>
            <w:shd w:val="clear" w:fill="F2DCDC"/>
            <w:tcW w:w="1276" w:type="dxa"/>
            <w:vAlign w:val="top"/>
          </w:tcPr>
          <w:p>
            <w:pPr>
              <w:pStyle w:val="TableText"/>
              <w:ind w:left="270"/>
              <w:spacing w:before="99" w:line="178" w:lineRule="auto"/>
              <w:rPr/>
            </w:pPr>
            <w:r>
              <w:rPr>
                <w:spacing w:val="3"/>
              </w:rPr>
              <w:t>600365</w:t>
            </w:r>
          </w:p>
        </w:tc>
        <w:tc>
          <w:tcPr>
            <w:shd w:val="clear" w:fill="F2DCDC"/>
            <w:tcW w:w="1215" w:type="dxa"/>
            <w:vAlign w:val="top"/>
          </w:tcPr>
          <w:p>
            <w:pPr>
              <w:pStyle w:val="TableText"/>
              <w:ind w:left="277"/>
              <w:spacing w:before="86" w:line="188" w:lineRule="auto"/>
              <w:rPr/>
            </w:pPr>
            <w:r>
              <w:rPr/>
              <w:t>ST</w:t>
            </w:r>
            <w:r>
              <w:rPr>
                <w:spacing w:val="8"/>
              </w:rPr>
              <w:t>通葡</w:t>
            </w:r>
          </w:p>
        </w:tc>
        <w:tc>
          <w:tcPr>
            <w:shd w:val="clear" w:fill="F2DCDC"/>
            <w:tcW w:w="1324" w:type="dxa"/>
            <w:vAlign w:val="top"/>
          </w:tcPr>
          <w:p>
            <w:pPr>
              <w:pStyle w:val="TableText"/>
              <w:ind w:left="236"/>
              <w:spacing w:before="84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shd w:val="clear" w:fill="F2DCDC"/>
            <w:tcW w:w="5004" w:type="dxa"/>
            <w:vAlign w:val="top"/>
          </w:tcPr>
          <w:p>
            <w:pPr>
              <w:pStyle w:val="TableText"/>
              <w:ind w:left="2"/>
              <w:spacing w:before="83" w:line="190" w:lineRule="auto"/>
              <w:rPr/>
            </w:pPr>
            <w:r>
              <w:rPr>
                <w:spacing w:val="9"/>
              </w:rPr>
              <w:t>公司</w:t>
            </w:r>
            <w:r>
              <w:rPr>
                <w:b/>
                <w:bCs/>
                <w:spacing w:val="9"/>
              </w:rPr>
              <w:t>日常关联交易</w:t>
            </w:r>
            <w:r>
              <w:rPr>
                <w:spacing w:val="9"/>
              </w:rPr>
              <w:t>未及时履行决策程序和披露义务。</w:t>
            </w:r>
          </w:p>
        </w:tc>
      </w:tr>
      <w:tr>
        <w:trPr>
          <w:trHeight w:val="1085" w:hRule="atLeast"/>
        </w:trPr>
        <w:tc>
          <w:tcPr>
            <w:tcW w:w="1276" w:type="dxa"/>
            <w:vAlign w:val="top"/>
          </w:tcPr>
          <w:p>
            <w:pPr>
              <w:pStyle w:val="TableText"/>
              <w:ind w:left="270"/>
              <w:spacing w:before="100" w:line="179" w:lineRule="auto"/>
              <w:rPr/>
            </w:pPr>
            <w:r>
              <w:rPr>
                <w:spacing w:val="3"/>
              </w:rPr>
              <w:t>600128</w:t>
            </w:r>
          </w:p>
        </w:tc>
        <w:tc>
          <w:tcPr>
            <w:tcW w:w="1215" w:type="dxa"/>
            <w:vAlign w:val="top"/>
          </w:tcPr>
          <w:p>
            <w:pPr>
              <w:pStyle w:val="TableText"/>
              <w:ind w:left="177"/>
              <w:spacing w:before="85" w:line="190" w:lineRule="auto"/>
              <w:rPr/>
            </w:pPr>
            <w:r>
              <w:rPr>
                <w:spacing w:val="8"/>
              </w:rPr>
              <w:t>苏豪弘业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ind w:left="234"/>
              <w:spacing w:before="88" w:line="188" w:lineRule="auto"/>
              <w:rPr/>
            </w:pPr>
            <w:r>
              <w:rPr>
                <w:spacing w:val="8"/>
              </w:rPr>
              <w:t>通报批评</w:t>
            </w:r>
          </w:p>
        </w:tc>
        <w:tc>
          <w:tcPr>
            <w:tcW w:w="5004" w:type="dxa"/>
            <w:vAlign w:val="top"/>
          </w:tcPr>
          <w:p>
            <w:pPr>
              <w:pStyle w:val="TableText"/>
              <w:ind w:left="2" w:right="159"/>
              <w:spacing w:before="85" w:line="346" w:lineRule="auto"/>
              <w:rPr/>
            </w:pPr>
            <w:r>
              <w:rPr>
                <w:spacing w:val="7"/>
              </w:rPr>
              <w:t>公司前期部分会计核算和会计处理存在差错， 导</w:t>
            </w:r>
            <w:r>
              <w:rPr>
                <w:spacing w:val="6"/>
              </w:rPr>
              <w:t>致多</w:t>
            </w:r>
            <w:r>
              <w:rPr/>
              <w:t xml:space="preserve"> </w:t>
            </w:r>
            <w:r>
              <w:rPr>
                <w:spacing w:val="9"/>
              </w:rPr>
              <w:t>期定期报告相关</w:t>
            </w:r>
            <w:r>
              <w:rPr>
                <w:b/>
                <w:bCs/>
                <w:spacing w:val="9"/>
              </w:rPr>
              <w:t>财务信息披露不准确</w:t>
            </w:r>
            <w:r>
              <w:rPr>
                <w:spacing w:val="9"/>
              </w:rPr>
              <w:t>。</w:t>
            </w:r>
          </w:p>
        </w:tc>
      </w:tr>
      <w:tr>
        <w:trPr>
          <w:trHeight w:val="1085" w:hRule="atLeast"/>
        </w:trPr>
        <w:tc>
          <w:tcPr>
            <w:shd w:val="clear" w:fill="F2DCDC"/>
            <w:tcW w:w="1276" w:type="dxa"/>
            <w:vAlign w:val="top"/>
          </w:tcPr>
          <w:p>
            <w:pPr>
              <w:pStyle w:val="TableText"/>
              <w:ind w:left="270"/>
              <w:spacing w:before="101" w:line="178" w:lineRule="auto"/>
              <w:rPr/>
            </w:pPr>
            <w:r>
              <w:rPr>
                <w:spacing w:val="3"/>
              </w:rPr>
              <w:t>603858</w:t>
            </w:r>
          </w:p>
        </w:tc>
        <w:tc>
          <w:tcPr>
            <w:shd w:val="clear" w:fill="F2DCDC"/>
            <w:tcW w:w="1215" w:type="dxa"/>
            <w:vAlign w:val="top"/>
          </w:tcPr>
          <w:p>
            <w:pPr>
              <w:pStyle w:val="TableText"/>
              <w:ind w:left="181"/>
              <w:spacing w:before="86" w:line="189" w:lineRule="auto"/>
              <w:rPr/>
            </w:pPr>
            <w:r>
              <w:rPr>
                <w:spacing w:val="7"/>
              </w:rPr>
              <w:t>步长制药</w:t>
            </w:r>
          </w:p>
        </w:tc>
        <w:tc>
          <w:tcPr>
            <w:shd w:val="clear" w:fill="F2DCDC"/>
            <w:tcW w:w="1324" w:type="dxa"/>
            <w:vAlign w:val="top"/>
          </w:tcPr>
          <w:p>
            <w:pPr>
              <w:pStyle w:val="TableText"/>
              <w:ind w:left="236"/>
              <w:spacing w:before="86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shd w:val="clear" w:fill="F2DCDC"/>
            <w:tcW w:w="5004" w:type="dxa"/>
            <w:vAlign w:val="top"/>
          </w:tcPr>
          <w:p>
            <w:pPr>
              <w:pStyle w:val="TableText"/>
              <w:ind w:left="10" w:right="44" w:hanging="8"/>
              <w:spacing w:before="43" w:line="358" w:lineRule="auto"/>
              <w:rPr/>
            </w:pPr>
            <w:r>
              <w:rPr>
                <w:spacing w:val="7"/>
              </w:rPr>
              <w:t>公司股东在持有公司已发行股份</w:t>
            </w:r>
            <w:r>
              <w:rPr>
                <w:b/>
                <w:bCs/>
                <w:spacing w:val="7"/>
              </w:rPr>
              <w:t>累计达到5%</w:t>
            </w:r>
            <w:r>
              <w:rPr>
                <w:spacing w:val="7"/>
              </w:rPr>
              <w:t>时</w:t>
            </w:r>
            <w:r>
              <w:rPr>
                <w:spacing w:val="6"/>
              </w:rPr>
              <w:t>， 未及</w:t>
            </w:r>
            <w:r>
              <w:rPr/>
              <w:t xml:space="preserve"> </w:t>
            </w:r>
            <w:r>
              <w:rPr>
                <w:spacing w:val="8"/>
              </w:rPr>
              <w:t>时履行权益变动披露义务。</w:t>
            </w:r>
          </w:p>
        </w:tc>
      </w:tr>
      <w:tr>
        <w:trPr>
          <w:trHeight w:val="2703" w:hRule="atLeast"/>
        </w:trPr>
        <w:tc>
          <w:tcPr>
            <w:tcW w:w="1276" w:type="dxa"/>
            <w:vAlign w:val="top"/>
          </w:tcPr>
          <w:p>
            <w:pPr>
              <w:pStyle w:val="TableText"/>
              <w:ind w:left="270"/>
              <w:spacing w:before="101" w:line="179" w:lineRule="auto"/>
              <w:rPr/>
            </w:pPr>
            <w:r>
              <w:rPr>
                <w:spacing w:val="3"/>
              </w:rPr>
              <w:t>688175</w:t>
            </w:r>
          </w:p>
        </w:tc>
        <w:tc>
          <w:tcPr>
            <w:tcW w:w="1215" w:type="dxa"/>
            <w:vAlign w:val="top"/>
          </w:tcPr>
          <w:p>
            <w:pPr>
              <w:pStyle w:val="TableText"/>
              <w:ind w:left="179"/>
              <w:spacing w:before="86" w:line="190" w:lineRule="auto"/>
              <w:rPr/>
            </w:pPr>
            <w:r>
              <w:rPr>
                <w:spacing w:val="8"/>
              </w:rPr>
              <w:t>高凌信息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ind w:left="236"/>
              <w:spacing w:before="88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tcW w:w="5004" w:type="dxa"/>
            <w:vAlign w:val="top"/>
          </w:tcPr>
          <w:p>
            <w:pPr>
              <w:pStyle w:val="TableText"/>
              <w:ind w:left="2" w:right="159" w:firstLine="3"/>
              <w:spacing w:before="47" w:line="370" w:lineRule="auto"/>
              <w:jc w:val="both"/>
              <w:rPr/>
            </w:pPr>
            <w:r>
              <w:rPr>
                <w:spacing w:val="7"/>
              </w:rPr>
              <w:t>首次公开发行前发行股份的股东， 曾在高</w:t>
            </w:r>
            <w:r>
              <w:rPr>
                <w:spacing w:val="6"/>
              </w:rPr>
              <w:t>凌信息《招</w:t>
            </w:r>
            <w:r>
              <w:rPr/>
              <w:t xml:space="preserve"> </w:t>
            </w:r>
            <w:r>
              <w:rPr>
                <w:spacing w:val="8"/>
              </w:rPr>
              <w:t>股说明书》</w:t>
            </w:r>
            <w:r>
              <w:rPr>
                <w:spacing w:val="-18"/>
              </w:rPr>
              <w:t xml:space="preserve"> </w:t>
            </w:r>
            <w:r>
              <w:rPr>
                <w:spacing w:val="8"/>
              </w:rPr>
              <w:t>中承诺减持股份时提前三个交易日通知公</w:t>
            </w:r>
            <w:r>
              <w:rPr/>
              <w:t xml:space="preserve"> </w:t>
            </w:r>
            <w:r>
              <w:rPr>
                <w:spacing w:val="7"/>
              </w:rPr>
              <w:t>司予以公告， 并按照有关规定及时、准确地履行</w:t>
            </w:r>
            <w:r>
              <w:rPr>
                <w:spacing w:val="6"/>
              </w:rPr>
              <w:t>信息</w:t>
            </w:r>
            <w:r>
              <w:rPr/>
              <w:t xml:space="preserve"> </w:t>
            </w:r>
            <w:r>
              <w:rPr>
                <w:spacing w:val="9"/>
              </w:rPr>
              <w:t>披露义务。但金起航贰号减持高凌信息股票</w:t>
            </w:r>
            <w:r>
              <w:rPr>
                <w:b/>
                <w:bCs/>
                <w:spacing w:val="9"/>
              </w:rPr>
              <w:t>未按承诺</w:t>
            </w:r>
            <w:r>
              <w:rPr>
                <w:b/>
                <w:bCs/>
                <w:spacing w:val="18"/>
                <w:w w:val="101"/>
              </w:rPr>
              <w:t xml:space="preserve"> </w:t>
            </w:r>
            <w:r>
              <w:rPr>
                <w:b/>
                <w:bCs/>
                <w:spacing w:val="8"/>
              </w:rPr>
              <w:t>提前通知高凌信息予以公告。</w:t>
            </w:r>
          </w:p>
        </w:tc>
      </w:tr>
      <w:tr>
        <w:trPr>
          <w:trHeight w:val="1085" w:hRule="atLeast"/>
        </w:trPr>
        <w:tc>
          <w:tcPr>
            <w:shd w:val="clear" w:fill="F2DCDC"/>
            <w:tcW w:w="1276" w:type="dxa"/>
            <w:vAlign w:val="top"/>
          </w:tcPr>
          <w:p>
            <w:pPr>
              <w:pStyle w:val="TableText"/>
              <w:ind w:left="270"/>
              <w:spacing w:before="104" w:line="179" w:lineRule="auto"/>
              <w:rPr/>
            </w:pPr>
            <w:r>
              <w:rPr>
                <w:spacing w:val="3"/>
              </w:rPr>
              <w:t>688519</w:t>
            </w:r>
          </w:p>
        </w:tc>
        <w:tc>
          <w:tcPr>
            <w:shd w:val="clear" w:fill="F2DCDC"/>
            <w:tcW w:w="1215" w:type="dxa"/>
            <w:vAlign w:val="top"/>
          </w:tcPr>
          <w:p>
            <w:pPr>
              <w:pStyle w:val="TableText"/>
              <w:ind w:left="180"/>
              <w:spacing w:before="91" w:line="189" w:lineRule="auto"/>
              <w:rPr/>
            </w:pPr>
            <w:r>
              <w:rPr>
                <w:spacing w:val="8"/>
              </w:rPr>
              <w:t>南亚新材</w:t>
            </w:r>
          </w:p>
        </w:tc>
        <w:tc>
          <w:tcPr>
            <w:shd w:val="clear" w:fill="F2DCDC"/>
            <w:tcW w:w="1324" w:type="dxa"/>
            <w:vAlign w:val="top"/>
          </w:tcPr>
          <w:p>
            <w:pPr>
              <w:pStyle w:val="TableText"/>
              <w:ind w:left="236"/>
              <w:spacing w:before="91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shd w:val="clear" w:fill="F2DCDC"/>
            <w:tcW w:w="5004" w:type="dxa"/>
            <w:vAlign w:val="top"/>
          </w:tcPr>
          <w:p>
            <w:pPr>
              <w:pStyle w:val="TableText"/>
              <w:ind w:left="11" w:right="34"/>
              <w:spacing w:before="91" w:line="344" w:lineRule="auto"/>
              <w:rPr/>
            </w:pPr>
            <w:r>
              <w:rPr>
                <w:spacing w:val="9"/>
              </w:rPr>
              <w:t>时任董事之直系亲属在6个月内买入又卖出其所持股份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的行为， 构成</w:t>
            </w:r>
            <w:r>
              <w:rPr>
                <w:b/>
                <w:bCs/>
                <w:spacing w:val="2"/>
              </w:rPr>
              <w:t>短线交易</w:t>
            </w:r>
            <w:r>
              <w:rPr>
                <w:spacing w:val="2"/>
              </w:rPr>
              <w:t>。</w:t>
            </w:r>
          </w:p>
        </w:tc>
      </w:tr>
      <w:tr>
        <w:trPr>
          <w:trHeight w:val="1085" w:hRule="atLeast"/>
        </w:trPr>
        <w:tc>
          <w:tcPr>
            <w:tcW w:w="1276" w:type="dxa"/>
            <w:vAlign w:val="top"/>
          </w:tcPr>
          <w:p>
            <w:pPr>
              <w:pStyle w:val="TableText"/>
              <w:ind w:left="270"/>
              <w:spacing w:before="105" w:line="178" w:lineRule="auto"/>
              <w:rPr/>
            </w:pPr>
            <w:r>
              <w:rPr>
                <w:spacing w:val="3"/>
              </w:rPr>
              <w:t>600726</w:t>
            </w:r>
          </w:p>
        </w:tc>
        <w:tc>
          <w:tcPr>
            <w:tcW w:w="1215" w:type="dxa"/>
            <w:vAlign w:val="top"/>
          </w:tcPr>
          <w:p>
            <w:pPr>
              <w:pStyle w:val="TableText"/>
              <w:ind w:left="179"/>
              <w:spacing w:before="89" w:line="190" w:lineRule="auto"/>
              <w:rPr/>
            </w:pPr>
            <w:r>
              <w:rPr>
                <w:spacing w:val="8"/>
              </w:rPr>
              <w:t>华电能源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ind w:left="236"/>
              <w:spacing w:before="90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tcW w:w="5004" w:type="dxa"/>
            <w:vAlign w:val="top"/>
          </w:tcPr>
          <w:p>
            <w:pPr>
              <w:pStyle w:val="TableText"/>
              <w:ind w:left="3" w:right="159"/>
              <w:spacing w:before="91" w:line="344" w:lineRule="auto"/>
              <w:rPr/>
            </w:pPr>
            <w:r>
              <w:rPr>
                <w:spacing w:val="6"/>
              </w:rPr>
              <w:t>关联方</w:t>
            </w:r>
            <w:r>
              <w:rPr>
                <w:b/>
                <w:bCs/>
                <w:spacing w:val="6"/>
              </w:rPr>
              <w:t>非经营性资金占用</w:t>
            </w:r>
            <w:r>
              <w:rPr>
                <w:spacing w:val="6"/>
              </w:rPr>
              <w:t>；</w:t>
            </w:r>
            <w:r>
              <w:rPr>
                <w:spacing w:val="26"/>
              </w:rPr>
              <w:t xml:space="preserve"> </w:t>
            </w:r>
            <w:r>
              <w:rPr>
                <w:b/>
                <w:bCs/>
                <w:spacing w:val="6"/>
              </w:rPr>
              <w:t>日常关联交易</w:t>
            </w:r>
            <w:r>
              <w:rPr>
                <w:spacing w:val="6"/>
              </w:rPr>
              <w:t>未及时履行</w:t>
            </w:r>
            <w:r>
              <w:rPr/>
              <w:t xml:space="preserve"> </w:t>
            </w:r>
            <w:r>
              <w:rPr>
                <w:spacing w:val="8"/>
              </w:rPr>
              <w:t>决策程序和披露义务。</w:t>
            </w:r>
          </w:p>
        </w:tc>
      </w:tr>
      <w:tr>
        <w:trPr>
          <w:trHeight w:val="1084" w:hRule="atLeast"/>
        </w:trPr>
        <w:tc>
          <w:tcPr>
            <w:shd w:val="clear" w:fill="F2DCDC"/>
            <w:tcW w:w="1276" w:type="dxa"/>
            <w:vAlign w:val="top"/>
          </w:tcPr>
          <w:p>
            <w:pPr>
              <w:pStyle w:val="TableText"/>
              <w:ind w:left="270"/>
              <w:spacing w:before="105" w:line="179" w:lineRule="auto"/>
              <w:rPr/>
            </w:pPr>
            <w:r>
              <w:rPr>
                <w:spacing w:val="3"/>
              </w:rPr>
              <w:t>603001</w:t>
            </w:r>
          </w:p>
        </w:tc>
        <w:tc>
          <w:tcPr>
            <w:shd w:val="clear" w:fill="F2DCDC"/>
            <w:tcW w:w="1215" w:type="dxa"/>
            <w:vAlign w:val="top"/>
          </w:tcPr>
          <w:p>
            <w:pPr>
              <w:pStyle w:val="TableText"/>
              <w:ind w:left="277"/>
              <w:spacing w:before="92" w:line="189" w:lineRule="auto"/>
              <w:rPr/>
            </w:pPr>
            <w:r>
              <w:rPr/>
              <w:t>ST</w:t>
            </w:r>
            <w:r>
              <w:rPr>
                <w:spacing w:val="8"/>
              </w:rPr>
              <w:t>奥康</w:t>
            </w:r>
          </w:p>
        </w:tc>
        <w:tc>
          <w:tcPr>
            <w:shd w:val="clear" w:fill="F2DCDC"/>
            <w:tcW w:w="1324" w:type="dxa"/>
            <w:vAlign w:val="top"/>
          </w:tcPr>
          <w:p>
            <w:pPr>
              <w:pStyle w:val="TableText"/>
              <w:ind w:left="234"/>
              <w:spacing w:before="95" w:line="187" w:lineRule="auto"/>
              <w:rPr/>
            </w:pPr>
            <w:r>
              <w:rPr>
                <w:spacing w:val="8"/>
              </w:rPr>
              <w:t>公开谴责</w:t>
            </w:r>
          </w:p>
        </w:tc>
        <w:tc>
          <w:tcPr>
            <w:shd w:val="clear" w:fill="F2DCDC"/>
            <w:tcW w:w="5004" w:type="dxa"/>
            <w:vAlign w:val="top"/>
          </w:tcPr>
          <w:p>
            <w:pPr>
              <w:pStyle w:val="TableText"/>
              <w:ind w:left="2" w:right="159"/>
              <w:spacing w:before="93" w:line="343" w:lineRule="auto"/>
              <w:rPr/>
            </w:pPr>
            <w:r>
              <w:rPr>
                <w:spacing w:val="7"/>
              </w:rPr>
              <w:t>公司发生</w:t>
            </w:r>
            <w:r>
              <w:rPr>
                <w:b/>
                <w:bCs/>
                <w:spacing w:val="7"/>
              </w:rPr>
              <w:t>大额资金占用、关联交易</w:t>
            </w:r>
            <w:r>
              <w:rPr>
                <w:spacing w:val="7"/>
              </w:rPr>
              <w:t>， 且未按规定</w:t>
            </w:r>
            <w:r>
              <w:rPr>
                <w:spacing w:val="6"/>
              </w:rPr>
              <w:t>及时</w:t>
            </w:r>
            <w:r>
              <w:rPr/>
              <w:t xml:space="preserve"> </w:t>
            </w:r>
            <w:r>
              <w:rPr>
                <w:spacing w:val="4"/>
              </w:rPr>
              <w:t>披露。</w:t>
            </w:r>
          </w:p>
        </w:tc>
      </w:tr>
      <w:tr>
        <w:trPr>
          <w:trHeight w:val="545" w:hRule="atLeast"/>
        </w:trPr>
        <w:tc>
          <w:tcPr>
            <w:tcW w:w="1276" w:type="dxa"/>
            <w:vAlign w:val="top"/>
          </w:tcPr>
          <w:p>
            <w:pPr>
              <w:pStyle w:val="TableText"/>
              <w:ind w:left="270"/>
              <w:spacing w:before="109" w:line="178" w:lineRule="auto"/>
              <w:rPr/>
            </w:pPr>
            <w:r>
              <w:rPr>
                <w:spacing w:val="3"/>
              </w:rPr>
              <w:t>600868</w:t>
            </w:r>
          </w:p>
        </w:tc>
        <w:tc>
          <w:tcPr>
            <w:tcW w:w="1215" w:type="dxa"/>
            <w:vAlign w:val="top"/>
          </w:tcPr>
          <w:p>
            <w:pPr>
              <w:pStyle w:val="TableText"/>
              <w:ind w:left="177"/>
              <w:spacing w:before="95" w:line="189" w:lineRule="auto"/>
              <w:rPr/>
            </w:pPr>
            <w:r>
              <w:rPr>
                <w:spacing w:val="8"/>
              </w:rPr>
              <w:t>梅雁吉祥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ind w:left="234"/>
              <w:spacing w:before="96" w:line="188" w:lineRule="auto"/>
              <w:rPr/>
            </w:pPr>
            <w:r>
              <w:rPr>
                <w:spacing w:val="8"/>
              </w:rPr>
              <w:t>通报批评</w:t>
            </w:r>
          </w:p>
        </w:tc>
        <w:tc>
          <w:tcPr>
            <w:tcW w:w="5004" w:type="dxa"/>
            <w:vAlign w:val="top"/>
          </w:tcPr>
          <w:p>
            <w:pPr>
              <w:pStyle w:val="TableText"/>
              <w:ind w:left="2"/>
              <w:spacing w:before="95" w:line="189" w:lineRule="auto"/>
              <w:rPr/>
            </w:pPr>
            <w:r>
              <w:rPr>
                <w:spacing w:val="8"/>
              </w:rPr>
              <w:t>公司</w:t>
            </w:r>
            <w:r>
              <w:rPr>
                <w:b/>
                <w:bCs/>
                <w:spacing w:val="8"/>
              </w:rPr>
              <w:t>业绩预告</w:t>
            </w:r>
            <w:r>
              <w:rPr>
                <w:spacing w:val="8"/>
              </w:rPr>
              <w:t>披露不及时。</w:t>
            </w:r>
          </w:p>
        </w:tc>
      </w:tr>
      <w:tr>
        <w:trPr>
          <w:trHeight w:val="1093" w:hRule="atLeast"/>
        </w:trPr>
        <w:tc>
          <w:tcPr>
            <w:shd w:val="clear" w:fill="F2DCDC"/>
            <w:tcW w:w="1276" w:type="dxa"/>
            <w:vAlign w:val="top"/>
          </w:tcPr>
          <w:p>
            <w:pPr>
              <w:pStyle w:val="TableText"/>
              <w:ind w:left="270"/>
              <w:spacing w:before="109" w:line="178" w:lineRule="auto"/>
              <w:rPr/>
            </w:pPr>
            <w:r>
              <w:rPr>
                <w:spacing w:val="3"/>
              </w:rPr>
              <w:t>688027</w:t>
            </w:r>
          </w:p>
        </w:tc>
        <w:tc>
          <w:tcPr>
            <w:shd w:val="clear" w:fill="F2DCDC"/>
            <w:tcW w:w="1215" w:type="dxa"/>
            <w:vAlign w:val="top"/>
          </w:tcPr>
          <w:p>
            <w:pPr>
              <w:pStyle w:val="TableText"/>
              <w:ind w:left="190"/>
              <w:spacing w:before="102" w:line="183" w:lineRule="auto"/>
              <w:rPr/>
            </w:pPr>
            <w:r>
              <w:rPr>
                <w:spacing w:val="5"/>
              </w:rPr>
              <w:t>国盾量子</w:t>
            </w:r>
          </w:p>
        </w:tc>
        <w:tc>
          <w:tcPr>
            <w:shd w:val="clear" w:fill="F2DCDC"/>
            <w:tcW w:w="1324" w:type="dxa"/>
            <w:vAlign w:val="top"/>
          </w:tcPr>
          <w:p>
            <w:pPr>
              <w:pStyle w:val="TableText"/>
              <w:ind w:left="236"/>
              <w:spacing w:before="94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shd w:val="clear" w:fill="F2DCDC"/>
            <w:tcW w:w="5004" w:type="dxa"/>
            <w:vAlign w:val="top"/>
          </w:tcPr>
          <w:p>
            <w:pPr>
              <w:pStyle w:val="TableText"/>
              <w:ind w:left="2" w:right="37"/>
              <w:spacing w:before="93" w:line="346" w:lineRule="auto"/>
              <w:rPr/>
            </w:pPr>
            <w:r>
              <w:rPr>
                <w:spacing w:val="9"/>
              </w:rPr>
              <w:t>公司监事会主席的配偶在6个月内买入又卖出其所持股</w:t>
            </w:r>
            <w:r>
              <w:rPr>
                <w:spacing w:val="14"/>
              </w:rPr>
              <w:t xml:space="preserve"> </w:t>
            </w:r>
            <w:r>
              <w:rPr>
                <w:spacing w:val="3"/>
              </w:rPr>
              <w:t>份的行为， 构成</w:t>
            </w:r>
            <w:r>
              <w:rPr>
                <w:b/>
                <w:bCs/>
                <w:spacing w:val="3"/>
              </w:rPr>
              <w:t>短线交易</w:t>
            </w:r>
            <w:r>
              <w:rPr>
                <w:spacing w:val="3"/>
              </w:rPr>
              <w:t>。</w:t>
            </w:r>
          </w:p>
        </w:tc>
      </w:tr>
    </w:tbl>
    <w:p>
      <w:pPr>
        <w:spacing w:before="251" w:line="225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2"/>
        </w:rPr>
        <w:t>（2） 问询函统计</w:t>
      </w:r>
    </w:p>
    <w:p>
      <w:pPr>
        <w:spacing w:line="225" w:lineRule="auto"/>
        <w:sectPr>
          <w:pgSz w:w="11910" w:h="16840"/>
          <w:pgMar w:top="400" w:right="1417" w:bottom="0" w:left="997" w:header="0" w:footer="0" w:gutter="0"/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ind w:left="491"/>
        <w:spacing w:before="97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3"/>
        </w:rPr>
        <w:t>2024年6月10日-6月16日， 上交所发出2份监管问询函。</w:t>
      </w:r>
    </w:p>
    <w:p>
      <w:pPr>
        <w:spacing w:line="230" w:lineRule="exact"/>
        <w:rPr/>
      </w:pPr>
      <w:r/>
    </w:p>
    <w:tbl>
      <w:tblPr>
        <w:tblStyle w:val="TableNormal"/>
        <w:tblW w:w="8982" w:type="dxa"/>
        <w:tblInd w:w="1139" w:type="dxa"/>
        <w:tblLayout w:type="fixed"/>
        <w:tblBorders>
          <w:top w:val="single" w:color="C0504D" w:sz="6" w:space="0"/>
          <w:left w:val="single" w:color="C0504D" w:sz="6" w:space="0"/>
          <w:bottom w:val="single" w:color="C0504D" w:sz="6" w:space="0"/>
          <w:right w:val="single" w:color="C0504D" w:sz="6" w:space="0"/>
          <w:insideH w:val="single" w:color="C0504D" w:sz="6" w:space="0"/>
          <w:insideV w:val="single" w:color="C0504D" w:sz="6" w:space="0"/>
        </w:tblBorders>
      </w:tblPr>
      <w:tblGrid>
        <w:gridCol w:w="1299"/>
        <w:gridCol w:w="1237"/>
        <w:gridCol w:w="6446"/>
      </w:tblGrid>
      <w:tr>
        <w:trPr>
          <w:trHeight w:val="391" w:hRule="atLeast"/>
        </w:trPr>
        <w:tc>
          <w:tcPr>
            <w:shd w:val="clear" w:fill="C0504D"/>
            <w:tcW w:w="1299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205"/>
              <w:spacing w:before="93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公司代码</w:t>
            </w:r>
          </w:p>
        </w:tc>
        <w:tc>
          <w:tcPr>
            <w:shd w:val="clear" w:fill="C0504D"/>
            <w:tcW w:w="1237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171"/>
              <w:spacing w:before="93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公司简称</w:t>
            </w:r>
          </w:p>
        </w:tc>
        <w:tc>
          <w:tcPr>
            <w:shd w:val="clear" w:fill="C0504D"/>
            <w:tcW w:w="6446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2787"/>
              <w:spacing w:before="94" w:line="18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4"/>
              </w:rPr>
              <w:t>函件类别</w:t>
            </w:r>
          </w:p>
        </w:tc>
      </w:tr>
      <w:tr>
        <w:trPr>
          <w:trHeight w:val="356" w:hRule="atLeast"/>
        </w:trPr>
        <w:tc>
          <w:tcPr>
            <w:tcW w:w="1299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282"/>
              <w:spacing w:before="97" w:line="174" w:lineRule="auto"/>
              <w:rPr/>
            </w:pPr>
            <w:r>
              <w:rPr>
                <w:spacing w:val="3"/>
              </w:rPr>
              <w:t>603356</w:t>
            </w:r>
          </w:p>
        </w:tc>
        <w:tc>
          <w:tcPr>
            <w:tcW w:w="1237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190"/>
              <w:spacing w:before="82" w:line="184" w:lineRule="auto"/>
              <w:rPr/>
            </w:pPr>
            <w:r>
              <w:rPr>
                <w:spacing w:val="8"/>
              </w:rPr>
              <w:t>华菱精工</w:t>
            </w:r>
          </w:p>
        </w:tc>
        <w:tc>
          <w:tcPr>
            <w:tcW w:w="6446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2911"/>
              <w:spacing w:before="82" w:line="184" w:lineRule="auto"/>
              <w:rPr/>
            </w:pPr>
            <w:r>
              <w:rPr>
                <w:spacing w:val="4"/>
              </w:rPr>
              <w:t>问询函</w:t>
            </w:r>
          </w:p>
        </w:tc>
      </w:tr>
      <w:tr>
        <w:trPr>
          <w:trHeight w:val="370" w:hRule="atLeast"/>
        </w:trPr>
        <w:tc>
          <w:tcPr>
            <w:shd w:val="clear" w:fill="F2DCDC"/>
            <w:tcW w:w="1299" w:type="dxa"/>
            <w:vAlign w:val="top"/>
          </w:tcPr>
          <w:p>
            <w:pPr>
              <w:pStyle w:val="TableText"/>
              <w:ind w:left="282"/>
              <w:spacing w:before="105" w:line="178" w:lineRule="auto"/>
              <w:rPr/>
            </w:pPr>
            <w:r>
              <w:rPr>
                <w:spacing w:val="3"/>
              </w:rPr>
              <w:t>688287</w:t>
            </w:r>
          </w:p>
        </w:tc>
        <w:tc>
          <w:tcPr>
            <w:shd w:val="clear" w:fill="F2DCDC"/>
            <w:tcW w:w="1237" w:type="dxa"/>
            <w:vAlign w:val="top"/>
          </w:tcPr>
          <w:p>
            <w:pPr>
              <w:pStyle w:val="TableText"/>
              <w:ind w:left="188"/>
              <w:spacing w:before="89" w:line="189" w:lineRule="auto"/>
              <w:rPr/>
            </w:pPr>
            <w:r>
              <w:rPr>
                <w:spacing w:val="8"/>
              </w:rPr>
              <w:t>观典防务</w:t>
            </w:r>
          </w:p>
        </w:tc>
        <w:tc>
          <w:tcPr>
            <w:shd w:val="clear" w:fill="F2DCDC"/>
            <w:tcW w:w="6446" w:type="dxa"/>
            <w:vAlign w:val="top"/>
          </w:tcPr>
          <w:p>
            <w:pPr>
              <w:pStyle w:val="TableText"/>
              <w:ind w:left="2911"/>
              <w:spacing w:before="91" w:line="188" w:lineRule="auto"/>
              <w:rPr/>
            </w:pPr>
            <w:r>
              <w:rPr>
                <w:spacing w:val="4"/>
              </w:rPr>
              <w:t>问询函</w:t>
            </w:r>
          </w:p>
        </w:tc>
      </w:tr>
    </w:tbl>
    <w:p>
      <w:pPr>
        <w:pStyle w:val="BodyText"/>
        <w:spacing w:line="350" w:lineRule="auto"/>
        <w:rPr/>
      </w:pPr>
      <w:r/>
    </w:p>
    <w:p>
      <w:pPr>
        <w:pStyle w:val="BodyText"/>
        <w:spacing w:line="350" w:lineRule="auto"/>
        <w:rPr/>
      </w:pPr>
      <w:r/>
    </w:p>
    <w:p>
      <w:pPr>
        <w:ind w:left="530"/>
        <w:spacing w:before="103" w:line="183" w:lineRule="auto"/>
        <w:outlineLvl w:val="0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2"/>
        </w:rPr>
        <w:t>2、市场交易监管动态</w:t>
      </w:r>
    </w:p>
    <w:p>
      <w:pPr>
        <w:ind w:firstLine="491"/>
        <w:spacing w:before="135" w:line="239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2"/>
        </w:rPr>
        <w:t>2024年6月10日-6月16日， 上交所对87起拉抬打压、虚假申报等证券异常交易行为采取了书面警示</w:t>
      </w:r>
      <w:r>
        <w:rPr>
          <w:rFonts w:ascii="Microsoft YaHei" w:hAnsi="Microsoft YaHei" w:eastAsia="Microsoft YaHei" w:cs="Microsoft YaHei"/>
          <w:sz w:val="24"/>
          <w:szCs w:val="24"/>
          <w:spacing w:val="4"/>
        </w:rPr>
        <w:t xml:space="preserve">   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等监管措施， 对退市同达等退市整理股票</w:t>
      </w:r>
      <w:r>
        <w:rPr>
          <w:rFonts w:ascii="Microsoft YaHei" w:hAnsi="Microsoft YaHei" w:eastAsia="Microsoft YaHei" w:cs="Microsoft YaHei"/>
          <w:sz w:val="24"/>
          <w:szCs w:val="24"/>
          <w:spacing w:val="-2"/>
        </w:rPr>
        <w:t>、松炀资源等严重异常波动股票以及个别波动幅度较大的可转债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3"/>
        </w:rPr>
        <w:t>进行重点监控， 对10起上市公司重大事项等进行专项核查。</w:t>
      </w:r>
    </w:p>
    <w:p>
      <w:pPr>
        <w:spacing w:line="239" w:lineRule="auto"/>
        <w:sectPr>
          <w:pgSz w:w="11910" w:h="16840"/>
          <w:pgMar w:top="400" w:right="430" w:bottom="0" w:left="442" w:header="0" w:footer="0" w:gutter="0"/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pStyle w:val="BodyText"/>
        <w:spacing w:line="293" w:lineRule="auto"/>
        <w:rPr/>
      </w:pPr>
      <w:r/>
    </w:p>
    <w:p>
      <w:pPr>
        <w:pStyle w:val="BodyText"/>
        <w:spacing w:line="294" w:lineRule="auto"/>
        <w:rPr/>
      </w:pPr>
      <w:r/>
    </w:p>
    <w:p>
      <w:pPr>
        <w:spacing w:line="924" w:lineRule="exact"/>
        <w:rPr/>
      </w:pPr>
      <w:r>
        <w:rPr>
          <w:position w:val="-18"/>
        </w:rPr>
        <w:pict>
          <v:group id="_x0000_s26" style="mso-position-vertical-relative:line;mso-position-horizontal-relative:char;width:134.8pt;height:46.25pt;" filled="false" stroked="false" coordsize="2696,925" coordorigin="0,0">
            <v:shape id="_x0000_s28" style="position:absolute;left:0;top:0;width:2696;height:925;" filled="false" stroked="false" type="#_x0000_t75">
              <v:imagedata o:title="" r:id="rId14"/>
            </v:shape>
            <v:shape id="_x0000_s30" style="position:absolute;left:-20;top:-20;width:2736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66"/>
                      <w:spacing w:before="248" w:line="183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b/>
                        <w:bCs/>
                        <w:color w:val="FFFFFF"/>
                        <w:spacing w:val="-1"/>
                      </w:rPr>
                      <w:t>深交所监管动态</w:t>
                    </w:r>
                  </w:p>
                </w:txbxContent>
              </v:textbox>
            </v:shape>
          </v:group>
        </w:pict>
      </w:r>
    </w:p>
    <w:p>
      <w:pPr>
        <w:ind w:left="901"/>
        <w:spacing w:before="318" w:line="184" w:lineRule="auto"/>
        <w:outlineLvl w:val="0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b/>
          <w:bCs/>
          <w:spacing w:val="-2"/>
        </w:rPr>
        <w:t>1、上市公司监管动态</w:t>
      </w:r>
    </w:p>
    <w:p>
      <w:pPr>
        <w:spacing w:before="172" w:line="183" w:lineRule="auto"/>
        <w:jc w:val="right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4"/>
        </w:rPr>
        <w:t>2024年6月10日-6月16日， 深交所发出4份监管函， 对2宗行为予以纪律处分； 共发出年报</w:t>
      </w: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问询函1</w:t>
      </w:r>
    </w:p>
    <w:p>
      <w:pPr>
        <w:ind w:left="442"/>
        <w:spacing w:before="306" w:line="181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2"/>
        </w:rPr>
        <w:t>份。</w:t>
      </w:r>
    </w:p>
    <w:p>
      <w:pPr>
        <w:ind w:firstLine="1593"/>
        <w:spacing w:before="177" w:line="4850" w:lineRule="exact"/>
        <w:rPr/>
      </w:pPr>
      <w:r>
        <w:rPr>
          <w:position w:val="-97"/>
        </w:rPr>
        <w:drawing>
          <wp:inline distT="0" distB="0" distL="0" distR="0">
            <wp:extent cx="5563234" cy="3079750"/>
            <wp:effectExtent l="0" t="0" r="0" b="0"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63234" cy="307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33" w:lineRule="auto"/>
        <w:rPr/>
      </w:pPr>
      <w:r/>
    </w:p>
    <w:p>
      <w:pPr>
        <w:ind w:left="997"/>
        <w:spacing w:before="104" w:line="225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9"/>
        </w:rPr>
        <w:t>（1） 纪律处分及监管措施</w:t>
      </w:r>
    </w:p>
    <w:p>
      <w:pPr>
        <w:spacing w:before="227"/>
        <w:rPr/>
      </w:pPr>
      <w:r/>
    </w:p>
    <w:tbl>
      <w:tblPr>
        <w:tblStyle w:val="TableNormal"/>
        <w:tblW w:w="9402" w:type="dxa"/>
        <w:tblInd w:w="851" w:type="dxa"/>
        <w:tblLayout w:type="fixed"/>
        <w:tblBorders>
          <w:top w:val="single" w:color="4F81BD" w:sz="2" w:space="0"/>
          <w:left w:val="single" w:color="4F81BD" w:sz="2" w:space="0"/>
          <w:bottom w:val="single" w:color="4F81BD" w:sz="2" w:space="0"/>
          <w:right w:val="single" w:color="4F81BD" w:sz="2" w:space="0"/>
          <w:insideH w:val="single" w:color="4F81BD" w:sz="2" w:space="0"/>
          <w:insideV w:val="single" w:color="4F81BD" w:sz="2" w:space="0"/>
        </w:tblBorders>
      </w:tblPr>
      <w:tblGrid>
        <w:gridCol w:w="1534"/>
        <w:gridCol w:w="1547"/>
        <w:gridCol w:w="1562"/>
        <w:gridCol w:w="4759"/>
      </w:tblGrid>
      <w:tr>
        <w:trPr>
          <w:trHeight w:val="542" w:hRule="atLeast"/>
        </w:trPr>
        <w:tc>
          <w:tcPr>
            <w:shd w:val="clear" w:fill="4BACC6"/>
            <w:tcW w:w="1534" w:type="dxa"/>
            <w:vAlign w:val="top"/>
          </w:tcPr>
          <w:p>
            <w:pPr>
              <w:pStyle w:val="TableText"/>
              <w:ind w:left="328"/>
              <w:spacing w:before="94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公司代码</w:t>
            </w:r>
          </w:p>
        </w:tc>
        <w:tc>
          <w:tcPr>
            <w:shd w:val="clear" w:fill="4BACC6"/>
            <w:tcW w:w="1547" w:type="dxa"/>
            <w:vAlign w:val="top"/>
            <w:tcBorders>
              <w:top w:val="nil"/>
            </w:tcBorders>
          </w:tcPr>
          <w:p>
            <w:pPr>
              <w:pStyle w:val="TableText"/>
              <w:ind w:left="333"/>
              <w:spacing w:before="94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公司简称</w:t>
            </w:r>
          </w:p>
        </w:tc>
        <w:tc>
          <w:tcPr>
            <w:shd w:val="clear" w:fill="4BACC6"/>
            <w:tcW w:w="1562" w:type="dxa"/>
            <w:vAlign w:val="top"/>
            <w:tcBorders>
              <w:top w:val="nil"/>
            </w:tcBorders>
          </w:tcPr>
          <w:p>
            <w:pPr>
              <w:pStyle w:val="TableText"/>
              <w:ind w:left="340"/>
              <w:spacing w:before="93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监管类型</w:t>
            </w:r>
          </w:p>
        </w:tc>
        <w:tc>
          <w:tcPr>
            <w:shd w:val="clear" w:fill="4BACC6"/>
            <w:tcW w:w="4759" w:type="dxa"/>
            <w:vAlign w:val="top"/>
            <w:tcBorders>
              <w:top w:val="nil"/>
            </w:tcBorders>
          </w:tcPr>
          <w:p>
            <w:pPr>
              <w:pStyle w:val="TableText"/>
              <w:ind w:left="1937"/>
              <w:spacing w:before="93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处理事由</w:t>
            </w:r>
          </w:p>
        </w:tc>
      </w:tr>
      <w:tr>
        <w:trPr>
          <w:trHeight w:val="1007" w:hRule="atLeast"/>
        </w:trPr>
        <w:tc>
          <w:tcPr>
            <w:tcW w:w="153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2"/>
              <w:spacing w:before="86" w:line="179" w:lineRule="auto"/>
              <w:rPr/>
            </w:pPr>
            <w:r>
              <w:rPr>
                <w:spacing w:val="3"/>
              </w:rPr>
              <w:t>002196</w:t>
            </w:r>
          </w:p>
        </w:tc>
        <w:tc>
          <w:tcPr>
            <w:tcW w:w="1547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2"/>
              <w:spacing w:before="86" w:line="189" w:lineRule="auto"/>
              <w:rPr/>
            </w:pPr>
            <w:r>
              <w:rPr>
                <w:spacing w:val="8"/>
              </w:rPr>
              <w:t>方正电机</w:t>
            </w:r>
          </w:p>
        </w:tc>
        <w:tc>
          <w:tcPr>
            <w:tcW w:w="156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5"/>
              <w:spacing w:before="8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75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9"/>
              <w:spacing w:before="85" w:line="190" w:lineRule="auto"/>
              <w:rPr/>
            </w:pPr>
            <w:r>
              <w:rPr>
                <w:spacing w:val="9"/>
              </w:rPr>
              <w:t>公司</w:t>
            </w:r>
            <w:r>
              <w:rPr>
                <w:b/>
                <w:bCs/>
                <w:spacing w:val="9"/>
              </w:rPr>
              <w:t>业绩预告</w:t>
            </w:r>
            <w:r>
              <w:rPr>
                <w:spacing w:val="9"/>
              </w:rPr>
              <w:t>相关信息披露不准确。</w:t>
            </w:r>
          </w:p>
        </w:tc>
      </w:tr>
      <w:tr>
        <w:trPr>
          <w:trHeight w:val="1501" w:hRule="atLeast"/>
        </w:trPr>
        <w:tc>
          <w:tcPr>
            <w:shd w:val="clear" w:fill="B8CCE4"/>
            <w:tcW w:w="1534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8"/>
              <w:spacing w:before="85" w:line="179" w:lineRule="auto"/>
              <w:rPr/>
            </w:pPr>
            <w:r>
              <w:rPr>
                <w:spacing w:val="3"/>
              </w:rPr>
              <w:t>300510</w:t>
            </w:r>
          </w:p>
        </w:tc>
        <w:tc>
          <w:tcPr>
            <w:shd w:val="clear" w:fill="B8CCE4"/>
            <w:tcW w:w="1547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1"/>
              <w:spacing w:before="86" w:line="188" w:lineRule="auto"/>
              <w:rPr/>
            </w:pPr>
            <w:r>
              <w:rPr>
                <w:spacing w:val="9"/>
              </w:rPr>
              <w:t>金冠股份</w:t>
            </w:r>
          </w:p>
        </w:tc>
        <w:tc>
          <w:tcPr>
            <w:shd w:val="clear" w:fill="B8CCE4"/>
            <w:tcW w:w="1562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5"/>
              <w:spacing w:before="8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shd w:val="clear" w:fill="B8CCE4"/>
            <w:tcW w:w="4759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1"/>
              <w:spacing w:before="86" w:line="189" w:lineRule="auto"/>
              <w:rPr/>
            </w:pPr>
            <w:r>
              <w:rPr>
                <w:spacing w:val="8"/>
              </w:rPr>
              <w:t>副总经理配偶</w:t>
            </w:r>
            <w:r>
              <w:rPr>
                <w:b/>
                <w:bCs/>
                <w:spacing w:val="8"/>
              </w:rPr>
              <w:t>短线交易。</w:t>
            </w:r>
          </w:p>
        </w:tc>
      </w:tr>
      <w:tr>
        <w:trPr>
          <w:trHeight w:val="1085" w:hRule="atLeast"/>
        </w:trPr>
        <w:tc>
          <w:tcPr>
            <w:tcW w:w="1534" w:type="dxa"/>
            <w:vAlign w:val="top"/>
          </w:tcPr>
          <w:p>
            <w:pPr>
              <w:spacing w:line="3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2"/>
              <w:spacing w:before="86" w:line="179" w:lineRule="auto"/>
              <w:rPr/>
            </w:pPr>
            <w:r>
              <w:rPr>
                <w:spacing w:val="3"/>
              </w:rPr>
              <w:t>000615</w:t>
            </w:r>
          </w:p>
        </w:tc>
        <w:tc>
          <w:tcPr>
            <w:tcW w:w="1547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9"/>
              <w:spacing w:before="86" w:line="190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美谷</w:t>
            </w:r>
          </w:p>
        </w:tc>
        <w:tc>
          <w:tcPr>
            <w:tcW w:w="1562" w:type="dxa"/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5"/>
              <w:spacing w:before="8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759" w:type="dxa"/>
            <w:vAlign w:val="top"/>
          </w:tcPr>
          <w:p>
            <w:pPr>
              <w:pStyle w:val="TableText"/>
              <w:ind w:left="109" w:right="118" w:firstLine="15"/>
              <w:spacing w:before="45"/>
              <w:rPr/>
            </w:pPr>
            <w:r>
              <w:rPr>
                <w:spacing w:val="5"/>
              </w:rPr>
              <w:t>5%以上股东在持股比例</w:t>
            </w:r>
            <w:r>
              <w:rPr>
                <w:b/>
                <w:bCs/>
                <w:spacing w:val="5"/>
              </w:rPr>
              <w:t>累计减少超过5%</w:t>
            </w:r>
            <w:r>
              <w:rPr>
                <w:spacing w:val="5"/>
              </w:rPr>
              <w:t>时， 未   </w:t>
            </w:r>
            <w:r>
              <w:rPr>
                <w:spacing w:val="9"/>
              </w:rPr>
              <w:t>在该事实发生之日起3日内编制权益变动报告书并</w:t>
            </w:r>
            <w:r>
              <w:rPr>
                <w:spacing w:val="10"/>
              </w:rPr>
              <w:t xml:space="preserve"> </w:t>
            </w:r>
            <w:r>
              <w:rPr>
                <w:spacing w:val="8"/>
              </w:rPr>
              <w:t>履行报告、公告义务。</w:t>
            </w:r>
          </w:p>
        </w:tc>
      </w:tr>
      <w:tr>
        <w:trPr>
          <w:trHeight w:val="2167" w:hRule="atLeast"/>
        </w:trPr>
        <w:tc>
          <w:tcPr>
            <w:shd w:val="clear" w:fill="B8CCE4"/>
            <w:tcW w:w="1534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8"/>
              <w:spacing w:before="86" w:line="178" w:lineRule="auto"/>
              <w:rPr/>
            </w:pPr>
            <w:r>
              <w:rPr>
                <w:spacing w:val="3"/>
              </w:rPr>
              <w:t>300695</w:t>
            </w:r>
          </w:p>
        </w:tc>
        <w:tc>
          <w:tcPr>
            <w:shd w:val="clear" w:fill="B8CCE4"/>
            <w:tcW w:w="1547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4"/>
              <w:spacing w:before="86" w:line="188" w:lineRule="auto"/>
              <w:rPr/>
            </w:pPr>
            <w:r>
              <w:rPr>
                <w:spacing w:val="8"/>
              </w:rPr>
              <w:t>兆丰股份</w:t>
            </w:r>
          </w:p>
        </w:tc>
        <w:tc>
          <w:tcPr>
            <w:shd w:val="clear" w:fill="B8CCE4"/>
            <w:tcW w:w="1562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5"/>
              <w:spacing w:before="8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shd w:val="clear" w:fill="B8CCE4"/>
            <w:tcW w:w="4759" w:type="dxa"/>
            <w:vAlign w:val="top"/>
          </w:tcPr>
          <w:p>
            <w:pPr>
              <w:pStyle w:val="TableText"/>
              <w:ind w:left="108" w:right="238"/>
              <w:spacing w:before="46" w:line="246" w:lineRule="auto"/>
              <w:jc w:val="both"/>
              <w:rPr/>
            </w:pPr>
            <w:r>
              <w:rPr>
                <w:spacing w:val="8"/>
              </w:rPr>
              <w:t>公司《招股说明书》</w:t>
            </w:r>
            <w:r>
              <w:rPr>
                <w:spacing w:val="-22"/>
              </w:rPr>
              <w:t xml:space="preserve"> </w:t>
            </w:r>
            <w:r>
              <w:rPr>
                <w:spacing w:val="8"/>
              </w:rPr>
              <w:t>“重大事项提示”“七、股</w:t>
            </w:r>
            <w:r>
              <w:rPr/>
              <w:t xml:space="preserve"> </w:t>
            </w:r>
            <w:r>
              <w:rPr>
                <w:spacing w:val="6"/>
              </w:rPr>
              <w:t>利分配政策”显示： “公司采取现金、股票或者</w:t>
            </w:r>
            <w:r>
              <w:rPr>
                <w:spacing w:val="15"/>
              </w:rPr>
              <w:t xml:space="preserve"> </w:t>
            </w:r>
            <w:r>
              <w:rPr>
                <w:spacing w:val="6"/>
              </w:rPr>
              <w:t>现金股票相结合的方式分配股利， 在有条件的情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6"/>
              </w:rPr>
              <w:t>况下， 公司可以进行中期现金分红。公司目前处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6"/>
              </w:rPr>
              <w:t>于成长期， 公司在持续盈利的情况下优先采取现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6"/>
              </w:rPr>
              <w:t>金形式分配利润， 每年向股东现金分配股利不低</w:t>
            </w:r>
          </w:p>
        </w:tc>
      </w:tr>
    </w:tbl>
    <w:p>
      <w:pPr>
        <w:pStyle w:val="BodyText"/>
        <w:rPr/>
      </w:pPr>
      <w:r/>
    </w:p>
    <w:p>
      <w:pPr>
        <w:sectPr>
          <w:pgSz w:w="11910" w:h="16840"/>
          <w:pgMar w:top="400" w:right="640" w:bottom="0" w:left="0" w:header="0" w:footer="0" w:gutter="0"/>
        </w:sectPr>
        <w:rPr/>
      </w:pPr>
    </w:p>
    <w:tbl>
      <w:tblPr>
        <w:tblStyle w:val="TableNormal"/>
        <w:tblW w:w="9402" w:type="dxa"/>
        <w:tblInd w:w="410" w:type="dxa"/>
        <w:tblLayout w:type="fixed"/>
        <w:tblBorders>
          <w:top w:val="single" w:color="4F81BD" w:sz="2" w:space="0"/>
          <w:left w:val="single" w:color="4F81BD" w:sz="2" w:space="0"/>
          <w:bottom w:val="single" w:color="4F81BD" w:sz="2" w:space="0"/>
          <w:right w:val="single" w:color="4F81BD" w:sz="2" w:space="0"/>
          <w:insideH w:val="single" w:color="4F81BD" w:sz="2" w:space="0"/>
          <w:insideV w:val="single" w:color="4F81BD" w:sz="2" w:space="0"/>
        </w:tblBorders>
      </w:tblPr>
      <w:tblGrid>
        <w:gridCol w:w="1534"/>
        <w:gridCol w:w="1547"/>
        <w:gridCol w:w="1562"/>
        <w:gridCol w:w="4759"/>
      </w:tblGrid>
      <w:tr>
        <w:trPr>
          <w:trHeight w:val="1810" w:hRule="atLeast"/>
        </w:trPr>
        <w:tc>
          <w:tcPr>
            <w:shd w:val="clear" w:fill="B8CCE4"/>
            <w:tcW w:w="15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B8CCE4"/>
            <w:tcW w:w="154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B8CCE4"/>
            <w:tcW w:w="15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B8CCE4"/>
            <w:tcW w:w="4759" w:type="dxa"/>
            <w:vAlign w:val="top"/>
          </w:tcPr>
          <w:p>
            <w:pPr>
              <w:pStyle w:val="TableText"/>
              <w:ind w:left="109" w:right="156" w:firstLine="1"/>
              <w:spacing w:before="48" w:line="245" w:lineRule="auto"/>
              <w:rPr/>
            </w:pPr>
            <w:r>
              <w:rPr>
                <w:spacing w:val="7"/>
              </w:rPr>
              <w:t>于当年实现的可供分配利润的10%。</w:t>
            </w:r>
            <w:r>
              <w:rPr>
                <w:spacing w:val="-24"/>
              </w:rPr>
              <w:t xml:space="preserve"> </w:t>
            </w:r>
            <w:r>
              <w:rPr>
                <w:spacing w:val="7"/>
              </w:rPr>
              <w:t>”公司2020</w:t>
            </w:r>
            <w:r>
              <w:rPr/>
              <w:t xml:space="preserve"> </w:t>
            </w:r>
            <w:r>
              <w:rPr>
                <w:spacing w:val="9"/>
              </w:rPr>
              <w:t>年度至2023年度归属于母公司股东的净利润</w:t>
            </w:r>
            <w:r>
              <w:rPr>
                <w:spacing w:val="8"/>
              </w:rPr>
              <w:t>分别</w:t>
            </w:r>
            <w:r>
              <w:rPr/>
              <w:t xml:space="preserve"> </w:t>
            </w:r>
            <w:r>
              <w:rPr>
                <w:spacing w:val="3"/>
              </w:rPr>
              <w:t>为1.6 亿元、</w:t>
            </w:r>
            <w:r>
              <w:rPr>
                <w:spacing w:val="-18"/>
              </w:rPr>
              <w:t xml:space="preserve"> </w:t>
            </w:r>
            <w:r>
              <w:rPr>
                <w:spacing w:val="3"/>
              </w:rPr>
              <w:t>1.26亿元、</w:t>
            </w:r>
            <w:r>
              <w:rPr>
                <w:spacing w:val="-31"/>
              </w:rPr>
              <w:t xml:space="preserve"> </w:t>
            </w:r>
            <w:r>
              <w:rPr>
                <w:spacing w:val="3"/>
              </w:rPr>
              <w:t>1.65 亿元、</w:t>
            </w:r>
            <w:r>
              <w:rPr>
                <w:spacing w:val="-29"/>
              </w:rPr>
              <w:t xml:space="preserve"> </w:t>
            </w:r>
            <w:r>
              <w:rPr>
                <w:spacing w:val="3"/>
              </w:rPr>
              <w:t>1.84 亿元</w:t>
            </w:r>
            <w:r>
              <w:rPr>
                <w:spacing w:val="-26"/>
              </w:rPr>
              <w:t xml:space="preserve"> </w:t>
            </w:r>
            <w:r>
              <w:rPr>
                <w:spacing w:val="3"/>
              </w:rPr>
              <w:t>，</w:t>
            </w:r>
            <w:r>
              <w:rPr/>
              <w:t xml:space="preserve"> </w:t>
            </w:r>
            <w:r>
              <w:rPr>
                <w:spacing w:val="3"/>
              </w:rPr>
              <w:t>未分配利润均为正， 除2021年度外， 其余年度公</w:t>
            </w:r>
            <w:r>
              <w:rPr>
                <w:spacing w:val="14"/>
              </w:rPr>
              <w:t xml:space="preserve"> </w:t>
            </w:r>
            <w:r>
              <w:rPr>
                <w:spacing w:val="8"/>
              </w:rPr>
              <w:t>司</w:t>
            </w:r>
            <w:r>
              <w:rPr>
                <w:b/>
                <w:bCs/>
                <w:spacing w:val="8"/>
              </w:rPr>
              <w:t>未履行前述承诺。</w:t>
            </w:r>
          </w:p>
        </w:tc>
      </w:tr>
      <w:tr>
        <w:trPr>
          <w:trHeight w:val="2525" w:hRule="atLeast"/>
        </w:trPr>
        <w:tc>
          <w:tcPr>
            <w:tcW w:w="153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2"/>
              <w:spacing w:before="86" w:line="178" w:lineRule="auto"/>
              <w:rPr/>
            </w:pPr>
            <w:r>
              <w:rPr>
                <w:spacing w:val="3"/>
              </w:rPr>
              <w:t>000695</w:t>
            </w:r>
          </w:p>
        </w:tc>
        <w:tc>
          <w:tcPr>
            <w:tcW w:w="1547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2"/>
              <w:spacing w:before="86" w:line="190" w:lineRule="auto"/>
              <w:rPr/>
            </w:pPr>
            <w:r>
              <w:rPr>
                <w:spacing w:val="8"/>
              </w:rPr>
              <w:t>滨海能源</w:t>
            </w:r>
          </w:p>
        </w:tc>
        <w:tc>
          <w:tcPr>
            <w:tcW w:w="1562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0"/>
              <w:spacing w:before="85" w:line="187" w:lineRule="auto"/>
              <w:rPr/>
            </w:pPr>
            <w:r>
              <w:rPr>
                <w:spacing w:val="8"/>
              </w:rPr>
              <w:t>公开谴责</w:t>
            </w:r>
          </w:p>
        </w:tc>
        <w:tc>
          <w:tcPr>
            <w:tcW w:w="4759" w:type="dxa"/>
            <w:vAlign w:val="top"/>
          </w:tcPr>
          <w:p>
            <w:pPr>
              <w:pStyle w:val="TableText"/>
              <w:ind w:left="108" w:right="221"/>
              <w:spacing w:before="82" w:line="243" w:lineRule="auto"/>
              <w:rPr/>
            </w:pPr>
            <w:r>
              <w:rPr>
                <w:spacing w:val="9"/>
              </w:rPr>
              <w:t>股东控制使用账户组在持有滨海能源股票比例</w:t>
            </w:r>
            <w:r>
              <w:rPr>
                <w:b/>
                <w:bCs/>
                <w:spacing w:val="9"/>
              </w:rPr>
              <w:t>达</w:t>
            </w:r>
            <w:r>
              <w:rPr>
                <w:b/>
                <w:bCs/>
                <w:spacing w:val="16"/>
                <w:w w:val="101"/>
              </w:rPr>
              <w:t xml:space="preserve"> </w:t>
            </w:r>
            <w:r>
              <w:rPr>
                <w:b/>
                <w:bCs/>
                <w:spacing w:val="9"/>
              </w:rPr>
              <w:t>到滨海能源总股本的5%、达到5%后每增加和减</w:t>
            </w:r>
            <w:r>
              <w:rPr>
                <w:b/>
                <w:bCs/>
                <w:spacing w:val="5"/>
              </w:rPr>
              <w:t xml:space="preserve"> </w:t>
            </w:r>
            <w:r>
              <w:rPr>
                <w:b/>
                <w:bCs/>
                <w:spacing w:val="6"/>
              </w:rPr>
              <w:t>少5%、以及达到5%后每增加和减少1%时</w:t>
            </w:r>
            <w:r>
              <w:rPr>
                <w:spacing w:val="6"/>
              </w:rPr>
              <w:t>， 未</w:t>
            </w:r>
            <w:r>
              <w:rPr>
                <w:spacing w:val="1"/>
              </w:rPr>
              <w:t xml:space="preserve">  </w:t>
            </w:r>
            <w:r>
              <w:rPr>
                <w:spacing w:val="9"/>
              </w:rPr>
              <w:t>在规定时限内报告和披露其持股信息变动情况</w:t>
            </w:r>
            <w:r>
              <w:rPr>
                <w:spacing w:val="-26"/>
              </w:rPr>
              <w:t xml:space="preserve"> </w:t>
            </w:r>
            <w:r>
              <w:rPr>
                <w:spacing w:val="9"/>
              </w:rPr>
              <w:t>，</w:t>
            </w:r>
            <w:r>
              <w:rPr/>
              <w:t xml:space="preserve"> </w:t>
            </w:r>
            <w:r>
              <w:rPr>
                <w:spacing w:val="9"/>
              </w:rPr>
              <w:t>未报告和披露其控制和使用的其他股东账户交易</w:t>
            </w:r>
            <w:r>
              <w:rPr>
                <w:spacing w:val="17"/>
              </w:rPr>
              <w:t xml:space="preserve"> </w:t>
            </w:r>
            <w:r>
              <w:rPr>
                <w:spacing w:val="6"/>
              </w:rPr>
              <w:t>滨海能源股票的事实； 在持股信息变动事实发生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9"/>
              </w:rPr>
              <w:t>后的限制期内</w:t>
            </w:r>
            <w:r>
              <w:rPr>
                <w:b/>
                <w:bCs/>
                <w:spacing w:val="9"/>
              </w:rPr>
              <w:t>未停止交易</w:t>
            </w:r>
            <w:r>
              <w:rPr>
                <w:spacing w:val="9"/>
              </w:rPr>
              <w:t>滨海能源股票。</w:t>
            </w:r>
          </w:p>
        </w:tc>
      </w:tr>
      <w:tr>
        <w:trPr>
          <w:trHeight w:val="4474" w:hRule="atLeast"/>
        </w:trPr>
        <w:tc>
          <w:tcPr>
            <w:shd w:val="clear" w:fill="B8CCE4"/>
            <w:tcW w:w="153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8"/>
              <w:spacing w:before="86" w:line="179" w:lineRule="auto"/>
              <w:rPr/>
            </w:pPr>
            <w:r>
              <w:rPr>
                <w:spacing w:val="3"/>
              </w:rPr>
              <w:t>300157</w:t>
            </w:r>
          </w:p>
        </w:tc>
        <w:tc>
          <w:tcPr>
            <w:shd w:val="clear" w:fill="B8CCE4"/>
            <w:tcW w:w="1547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3"/>
              <w:spacing w:before="86" w:line="189" w:lineRule="auto"/>
              <w:rPr/>
            </w:pPr>
            <w:r>
              <w:rPr>
                <w:spacing w:val="8"/>
              </w:rPr>
              <w:t>新锦动力</w:t>
            </w:r>
          </w:p>
        </w:tc>
        <w:tc>
          <w:tcPr>
            <w:shd w:val="clear" w:fill="B8CCE4"/>
            <w:tcW w:w="1562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0"/>
              <w:spacing w:before="86" w:line="188" w:lineRule="auto"/>
              <w:rPr/>
            </w:pPr>
            <w:r>
              <w:rPr>
                <w:spacing w:val="8"/>
              </w:rPr>
              <w:t>通报批评</w:t>
            </w:r>
          </w:p>
        </w:tc>
        <w:tc>
          <w:tcPr>
            <w:shd w:val="clear" w:fill="B8CCE4"/>
            <w:tcW w:w="4759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0" w:right="238" w:hanging="1"/>
              <w:spacing w:before="86" w:line="251" w:lineRule="auto"/>
              <w:rPr/>
            </w:pPr>
            <w:r>
              <w:rPr>
                <w:spacing w:val="9"/>
              </w:rPr>
              <w:t>大股东银川中能未在首次卖出新锦动力股份的</w:t>
            </w:r>
            <w:r>
              <w:rPr>
                <w:b/>
                <w:bCs/>
                <w:spacing w:val="9"/>
              </w:rPr>
              <w:t>十</w:t>
            </w:r>
            <w:r>
              <w:rPr>
                <w:b/>
                <w:bCs/>
                <w:spacing w:val="16"/>
              </w:rPr>
              <w:t xml:space="preserve"> </w:t>
            </w:r>
            <w:r>
              <w:rPr>
                <w:b/>
                <w:bCs/>
                <w:spacing w:val="8"/>
              </w:rPr>
              <w:t>五个交易日前披露减持计划。</w:t>
            </w:r>
          </w:p>
        </w:tc>
      </w:tr>
    </w:tbl>
    <w:p>
      <w:pPr>
        <w:ind w:left="556"/>
        <w:spacing w:before="259" w:line="225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2"/>
        </w:rPr>
        <w:t>（2） 问询函统计</w:t>
      </w:r>
    </w:p>
    <w:p>
      <w:pPr>
        <w:spacing w:before="146"/>
        <w:rPr/>
      </w:pPr>
      <w:r/>
    </w:p>
    <w:tbl>
      <w:tblPr>
        <w:tblStyle w:val="TableNormal"/>
        <w:tblW w:w="9463" w:type="dxa"/>
        <w:tblInd w:w="417" w:type="dxa"/>
        <w:tblLayout w:type="fixed"/>
        <w:tblBorders>
          <w:top w:val="single" w:color="78C0D4" w:sz="2" w:space="0"/>
          <w:left w:val="single" w:color="78C0D4" w:sz="2" w:space="0"/>
          <w:bottom w:val="single" w:color="78C0D4" w:sz="2" w:space="0"/>
          <w:right w:val="single" w:color="78C0D4" w:sz="2" w:space="0"/>
          <w:insideH w:val="single" w:color="78C0D4" w:sz="2" w:space="0"/>
          <w:insideV w:val="single" w:color="78C0D4" w:sz="2" w:space="0"/>
        </w:tblBorders>
      </w:tblPr>
      <w:tblGrid>
        <w:gridCol w:w="1161"/>
        <w:gridCol w:w="1339"/>
        <w:gridCol w:w="6963"/>
      </w:tblGrid>
      <w:tr>
        <w:trPr>
          <w:trHeight w:val="734" w:hRule="atLeast"/>
        </w:trPr>
        <w:tc>
          <w:tcPr>
            <w:shd w:val="clear" w:fill="4BACC6"/>
            <w:tcW w:w="1161" w:type="dxa"/>
            <w:vAlign w:val="top"/>
            <w:tcBorders>
              <w:left w:val="nil"/>
              <w:top w:val="nil"/>
              <w:right w:val="single" w:color="92CDDC" w:sz="2" w:space="0"/>
            </w:tcBorders>
          </w:tcPr>
          <w:p>
            <w:pPr>
              <w:pStyle w:val="TableText"/>
              <w:ind w:left="144"/>
              <w:spacing w:before="89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公司代码</w:t>
            </w:r>
          </w:p>
        </w:tc>
        <w:tc>
          <w:tcPr>
            <w:shd w:val="clear" w:fill="4BACC6"/>
            <w:tcW w:w="1339" w:type="dxa"/>
            <w:vAlign w:val="top"/>
            <w:tcBorders>
              <w:top w:val="nil"/>
              <w:left w:val="single" w:color="92CDDC" w:sz="2" w:space="0"/>
              <w:right w:val="single" w:color="92CDDC" w:sz="2" w:space="0"/>
            </w:tcBorders>
          </w:tcPr>
          <w:p>
            <w:pPr>
              <w:pStyle w:val="TableText"/>
              <w:ind w:left="231"/>
              <w:spacing w:before="89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公司简称</w:t>
            </w:r>
          </w:p>
        </w:tc>
        <w:tc>
          <w:tcPr>
            <w:shd w:val="clear" w:fill="4BACC6"/>
            <w:tcW w:w="6963" w:type="dxa"/>
            <w:vAlign w:val="top"/>
            <w:tcBorders>
              <w:right w:val="nil"/>
              <w:top w:val="nil"/>
              <w:left w:val="single" w:color="92CDDC" w:sz="2" w:space="0"/>
            </w:tcBorders>
          </w:tcPr>
          <w:p>
            <w:pPr>
              <w:pStyle w:val="TableText"/>
              <w:ind w:left="3050"/>
              <w:spacing w:before="88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3"/>
              </w:rPr>
              <w:t>问询类型</w:t>
            </w:r>
          </w:p>
        </w:tc>
      </w:tr>
      <w:tr>
        <w:trPr>
          <w:trHeight w:val="575" w:hRule="atLeast"/>
        </w:trPr>
        <w:tc>
          <w:tcPr>
            <w:shd w:val="clear" w:fill="B8CCE4"/>
            <w:tcW w:w="1161" w:type="dxa"/>
            <w:vAlign w:val="top"/>
          </w:tcPr>
          <w:p>
            <w:pPr>
              <w:pStyle w:val="TableText"/>
              <w:ind w:left="218"/>
              <w:spacing w:before="206" w:line="179" w:lineRule="auto"/>
              <w:rPr/>
            </w:pPr>
            <w:r>
              <w:rPr>
                <w:spacing w:val="3"/>
              </w:rPr>
              <w:t>002178</w:t>
            </w:r>
          </w:p>
        </w:tc>
        <w:tc>
          <w:tcPr>
            <w:shd w:val="clear" w:fill="B8CCE4"/>
            <w:tcW w:w="1339" w:type="dxa"/>
            <w:vAlign w:val="top"/>
          </w:tcPr>
          <w:p>
            <w:pPr>
              <w:pStyle w:val="TableText"/>
              <w:ind w:left="249"/>
              <w:spacing w:before="191" w:line="190" w:lineRule="auto"/>
              <w:rPr/>
            </w:pPr>
            <w:r>
              <w:rPr>
                <w:spacing w:val="8"/>
              </w:rPr>
              <w:t>延华智能</w:t>
            </w:r>
          </w:p>
        </w:tc>
        <w:tc>
          <w:tcPr>
            <w:shd w:val="clear" w:fill="B8CCE4"/>
            <w:tcW w:w="6963" w:type="dxa"/>
            <w:vAlign w:val="top"/>
          </w:tcPr>
          <w:p>
            <w:pPr>
              <w:pStyle w:val="TableText"/>
              <w:ind w:left="2957"/>
              <w:spacing w:before="192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</w:tbl>
    <w:p>
      <w:pPr>
        <w:pStyle w:val="BodyText"/>
        <w:spacing w:line="475" w:lineRule="auto"/>
        <w:rPr/>
      </w:pPr>
      <w:r/>
    </w:p>
    <w:p>
      <w:pPr>
        <w:ind w:left="451"/>
        <w:spacing w:before="95" w:line="184" w:lineRule="auto"/>
        <w:outlineLvl w:val="0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b/>
          <w:bCs/>
          <w:spacing w:val="-2"/>
        </w:rPr>
        <w:t>2、市场交易监管动态</w:t>
      </w:r>
    </w:p>
    <w:p>
      <w:pPr>
        <w:pStyle w:val="BodyText"/>
        <w:spacing w:line="255" w:lineRule="auto"/>
        <w:rPr/>
      </w:pPr>
      <w:r/>
    </w:p>
    <w:p>
      <w:pPr>
        <w:ind w:firstLine="492"/>
        <w:spacing w:before="103" w:line="359" w:lineRule="auto"/>
        <w:jc w:val="both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2024 年 6 月 10</w:t>
      </w:r>
      <w:r>
        <w:rPr>
          <w:rFonts w:ascii="Microsoft YaHei" w:hAnsi="Microsoft YaHei" w:eastAsia="Microsoft YaHei" w:cs="Microsoft YaHei"/>
          <w:sz w:val="24"/>
          <w:szCs w:val="24"/>
          <w:spacing w:val="2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日-6 月 16</w:t>
      </w:r>
      <w:r>
        <w:rPr>
          <w:rFonts w:ascii="Microsoft YaHei" w:hAnsi="Microsoft YaHei" w:eastAsia="Microsoft YaHei" w:cs="Microsoft YaHei"/>
          <w:sz w:val="24"/>
          <w:szCs w:val="24"/>
          <w:spacing w:val="22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日， 深交所共对 68 起证券异常交易行为采取了自律监管措施， 涉及盘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2"/>
        </w:rPr>
        <w:t>中拉抬打压、虚假申报等异常交易情形； 共对 15 起上市公司重大事项进行核查， 并上报证监会 6 起涉</w:t>
      </w:r>
      <w:r>
        <w:rPr>
          <w:rFonts w:ascii="Microsoft YaHei" w:hAnsi="Microsoft YaHei" w:eastAsia="Microsoft YaHei" w:cs="Microsoft YaHei"/>
          <w:sz w:val="24"/>
          <w:szCs w:val="24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嫌违法违规案件线索。</w:t>
      </w:r>
    </w:p>
    <w:sectPr>
      <w:pgSz w:w="11910" w:h="16840"/>
      <w:pgMar w:top="400" w:right="639" w:bottom="0" w:left="44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7620</wp:posOffset>
          </wp:positionV>
          <wp:extent cx="7562850" cy="7475219"/>
          <wp:effectExtent l="0" t="0" r="0" b="0"/>
          <wp:wrapNone/>
          <wp:docPr id="2" name="IM 2"/>
          <wp:cNvGraphicFramePr/>
          <a:graphic>
            <a:graphicData uri="http://schemas.openxmlformats.org/drawingml/2006/picture">
              <pic:pic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62850" cy="74752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8.jpeg"/><Relationship Id="rId8" Type="http://schemas.openxmlformats.org/officeDocument/2006/relationships/image" Target="media/image7.jpeg"/><Relationship Id="rId7" Type="http://schemas.openxmlformats.org/officeDocument/2006/relationships/image" Target="media/image6.png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media/image3.png"/><Relationship Id="rId3" Type="http://schemas.openxmlformats.org/officeDocument/2006/relationships/image" Target="media/image2.jpeg"/><Relationship Id="rId2" Type="http://schemas.openxmlformats.org/officeDocument/2006/relationships/header" Target="header2.xml"/><Relationship Id="rId19" Type="http://schemas.openxmlformats.org/officeDocument/2006/relationships/fontTable" Target="fontTable.xml"/><Relationship Id="rId18" Type="http://schemas.openxmlformats.org/officeDocument/2006/relationships/styles" Target="styles.xml"/><Relationship Id="rId17" Type="http://schemas.openxmlformats.org/officeDocument/2006/relationships/settings" Target="settings.xml"/><Relationship Id="rId16" Type="http://schemas.openxmlformats.org/officeDocument/2006/relationships/image" Target="media/image15.jpeg"/><Relationship Id="rId15" Type="http://schemas.openxmlformats.org/officeDocument/2006/relationships/image" Target="media/image14.jpeg"/><Relationship Id="rId14" Type="http://schemas.openxmlformats.org/officeDocument/2006/relationships/image" Target="media/image13.jpeg"/><Relationship Id="rId13" Type="http://schemas.openxmlformats.org/officeDocument/2006/relationships/image" Target="media/image12.jpeg"/><Relationship Id="rId12" Type="http://schemas.openxmlformats.org/officeDocument/2006/relationships/image" Target="media/image11.jpeg"/><Relationship Id="rId11" Type="http://schemas.openxmlformats.org/officeDocument/2006/relationships/image" Target="media/image10.jpeg"/><Relationship Id="rId10" Type="http://schemas.openxmlformats.org/officeDocument/2006/relationships/image" Target="media/image9.jpeg"/><Relationship Id="rId1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白尚武</dc:creator>
  <dcterms:created xsi:type="dcterms:W3CDTF">2024-06-17T09:07:07Z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2024-07-01T11:06:10</vt:filetime>
  </property>
</Properties>
</file>